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779B8" w:rsidRPr="00C77A98" w:rsidP="00D92B73">
      <w:pPr>
        <w:pStyle w:val="Default"/>
        <w:jc w:val="both"/>
        <w:rPr>
          <w:rFonts w:eastAsia="Times New Roman" w:asciiTheme="minorHAnsi" w:hAnsiTheme="minorHAnsi" w:cstheme="minorHAnsi"/>
          <w:bCs/>
          <w:color w:val="auto"/>
        </w:rPr>
      </w:pPr>
      <w:r w:rsidRPr="00C77A98">
        <w:rPr>
          <w:rFonts w:asciiTheme="minorHAnsi" w:hAnsiTheme="minorHAnsi" w:cstheme="minorHAnsi"/>
          <w:b/>
          <w:color w:val="auto"/>
        </w:rPr>
        <w:t>Parecer Jurídico nº</w:t>
      </w:r>
      <w:r w:rsidRPr="00C77A98" w:rsidR="000144A5">
        <w:rPr>
          <w:rFonts w:asciiTheme="minorHAnsi" w:hAnsiTheme="minorHAnsi" w:cstheme="minorHAnsi"/>
          <w:b/>
          <w:color w:val="auto"/>
        </w:rPr>
        <w:t xml:space="preserve"> </w:t>
      </w:r>
      <w:r w:rsidR="003D4466">
        <w:rPr>
          <w:rFonts w:asciiTheme="minorHAnsi" w:hAnsiTheme="minorHAnsi" w:cstheme="minorHAnsi"/>
          <w:b/>
          <w:color w:val="auto"/>
        </w:rPr>
        <w:t>120</w:t>
      </w:r>
      <w:r w:rsidRPr="00C77A98">
        <w:rPr>
          <w:rFonts w:asciiTheme="minorHAnsi" w:hAnsiTheme="minorHAnsi" w:cstheme="minorHAnsi"/>
          <w:b/>
          <w:color w:val="auto"/>
        </w:rPr>
        <w:t>/202</w:t>
      </w:r>
      <w:r w:rsidRPr="00C77A98" w:rsidR="00184C16">
        <w:rPr>
          <w:rFonts w:asciiTheme="minorHAnsi" w:hAnsiTheme="minorHAnsi" w:cstheme="minorHAnsi"/>
          <w:b/>
          <w:color w:val="auto"/>
        </w:rPr>
        <w:t>3</w:t>
      </w:r>
      <w:r w:rsidRPr="00C77A98">
        <w:rPr>
          <w:rFonts w:asciiTheme="minorHAnsi" w:hAnsiTheme="minorHAnsi" w:cstheme="minorHAnsi"/>
          <w:b/>
          <w:color w:val="auto"/>
        </w:rPr>
        <w:t>.</w:t>
      </w:r>
    </w:p>
    <w:p w:rsidR="003C269B" w:rsidRPr="001E54DB" w:rsidP="001E54DB">
      <w:pPr>
        <w:spacing w:after="0" w:line="240" w:lineRule="auto"/>
        <w:jc w:val="both"/>
        <w:rPr>
          <w:rFonts w:eastAsia="Calibri" w:asciiTheme="minorHAnsi" w:hAnsiTheme="minorHAnsi" w:cstheme="minorHAnsi"/>
          <w:i/>
          <w:color w:val="000000"/>
          <w:szCs w:val="24"/>
        </w:rPr>
      </w:pPr>
      <w:r w:rsidRPr="001C49E1">
        <w:rPr>
          <w:rFonts w:asciiTheme="minorHAnsi" w:hAnsiTheme="minorHAnsi" w:cstheme="minorHAnsi"/>
          <w:b/>
          <w:bCs/>
          <w:szCs w:val="24"/>
        </w:rPr>
        <w:t>Assunto: Emenda 0</w:t>
      </w:r>
      <w:r w:rsidR="001E54DB">
        <w:rPr>
          <w:rFonts w:asciiTheme="minorHAnsi" w:hAnsiTheme="minorHAnsi" w:cstheme="minorHAnsi"/>
          <w:b/>
          <w:bCs/>
          <w:szCs w:val="24"/>
        </w:rPr>
        <w:t>2</w:t>
      </w:r>
      <w:r w:rsidRPr="001C49E1">
        <w:rPr>
          <w:rFonts w:asciiTheme="minorHAnsi" w:hAnsiTheme="minorHAnsi" w:cstheme="minorHAnsi"/>
          <w:b/>
          <w:bCs/>
          <w:szCs w:val="24"/>
        </w:rPr>
        <w:t xml:space="preserve"> ao </w:t>
      </w:r>
      <w:r w:rsidRPr="001C49E1" w:rsidR="00D06E04">
        <w:rPr>
          <w:rFonts w:asciiTheme="minorHAnsi" w:hAnsiTheme="minorHAnsi" w:cstheme="minorHAnsi"/>
          <w:b/>
          <w:bCs/>
          <w:szCs w:val="24"/>
        </w:rPr>
        <w:t xml:space="preserve">Projeto de Lei nº </w:t>
      </w:r>
      <w:r w:rsidR="001E54DB">
        <w:rPr>
          <w:rFonts w:asciiTheme="minorHAnsi" w:hAnsiTheme="minorHAnsi" w:cstheme="minorHAnsi"/>
          <w:b/>
          <w:bCs/>
          <w:szCs w:val="24"/>
        </w:rPr>
        <w:t>124</w:t>
      </w:r>
      <w:r w:rsidRPr="001C49E1" w:rsidR="00184C16">
        <w:rPr>
          <w:rFonts w:asciiTheme="minorHAnsi" w:hAnsiTheme="minorHAnsi" w:cstheme="minorHAnsi"/>
          <w:b/>
          <w:bCs/>
          <w:szCs w:val="24"/>
        </w:rPr>
        <w:t>/202</w:t>
      </w:r>
      <w:r w:rsidR="001E54DB">
        <w:rPr>
          <w:rFonts w:asciiTheme="minorHAnsi" w:hAnsiTheme="minorHAnsi" w:cstheme="minorHAnsi"/>
          <w:b/>
          <w:bCs/>
          <w:szCs w:val="24"/>
        </w:rPr>
        <w:t>2</w:t>
      </w:r>
      <w:r w:rsidRPr="001C49E1" w:rsidR="001121D0">
        <w:rPr>
          <w:rFonts w:asciiTheme="minorHAnsi" w:hAnsiTheme="minorHAnsi" w:cstheme="minorHAnsi"/>
          <w:bCs/>
          <w:szCs w:val="24"/>
        </w:rPr>
        <w:t xml:space="preserve"> </w:t>
      </w:r>
      <w:r w:rsidRPr="001C49E1" w:rsidR="001121D0">
        <w:rPr>
          <w:rFonts w:eastAsia="Calibri" w:asciiTheme="minorHAnsi" w:hAnsiTheme="minorHAnsi" w:cstheme="minorHAnsi"/>
          <w:szCs w:val="24"/>
        </w:rPr>
        <w:t>que “</w:t>
      </w:r>
      <w:r w:rsidRPr="001E54DB" w:rsidR="001E54DB">
        <w:rPr>
          <w:rFonts w:eastAsia="Calibri" w:asciiTheme="minorHAnsi" w:hAnsiTheme="minorHAnsi" w:cstheme="minorHAnsi"/>
          <w:i/>
          <w:color w:val="000000"/>
          <w:szCs w:val="24"/>
        </w:rPr>
        <w:t>Disciplina as áreas de preservação</w:t>
      </w:r>
      <w:r w:rsidR="001E54DB">
        <w:rPr>
          <w:rFonts w:eastAsia="Calibri" w:asciiTheme="minorHAnsi" w:hAnsiTheme="minorHAnsi" w:cstheme="minorHAnsi"/>
          <w:i/>
          <w:color w:val="000000"/>
          <w:szCs w:val="24"/>
        </w:rPr>
        <w:t xml:space="preserve"> </w:t>
      </w:r>
      <w:r w:rsidRPr="001E54DB" w:rsidR="001E54DB">
        <w:rPr>
          <w:rFonts w:eastAsia="Calibri" w:asciiTheme="minorHAnsi" w:hAnsiTheme="minorHAnsi" w:cstheme="minorHAnsi"/>
          <w:i/>
          <w:color w:val="000000"/>
          <w:szCs w:val="24"/>
        </w:rPr>
        <w:t>perma</w:t>
      </w:r>
      <w:r w:rsidR="009663D4">
        <w:rPr>
          <w:rFonts w:eastAsia="Calibri" w:asciiTheme="minorHAnsi" w:hAnsiTheme="minorHAnsi" w:cstheme="minorHAnsi"/>
          <w:i/>
          <w:color w:val="000000"/>
          <w:szCs w:val="24"/>
        </w:rPr>
        <w:t>nente em zonas rurais e urbanas</w:t>
      </w:r>
      <w:r w:rsidRPr="001E54DB" w:rsidR="001E54DB">
        <w:rPr>
          <w:rFonts w:eastAsia="Calibri" w:asciiTheme="minorHAnsi" w:hAnsiTheme="minorHAnsi" w:cstheme="minorHAnsi"/>
          <w:i/>
          <w:color w:val="000000"/>
          <w:szCs w:val="24"/>
        </w:rPr>
        <w:t>”</w:t>
      </w:r>
      <w:r w:rsidR="009663D4">
        <w:rPr>
          <w:rFonts w:eastAsia="Calibri" w:asciiTheme="minorHAnsi" w:hAnsiTheme="minorHAnsi" w:cstheme="minorHAnsi"/>
          <w:i/>
          <w:color w:val="000000"/>
          <w:szCs w:val="24"/>
        </w:rPr>
        <w:t>.</w:t>
      </w:r>
    </w:p>
    <w:p w:rsidR="005F4237" w:rsidRPr="001C49E1" w:rsidP="005F4237">
      <w:pPr>
        <w:spacing w:after="0" w:line="240" w:lineRule="auto"/>
        <w:jc w:val="both"/>
        <w:rPr>
          <w:rFonts w:eastAsia="Calibri" w:asciiTheme="minorHAnsi" w:hAnsiTheme="minorHAnsi" w:cstheme="minorHAnsi"/>
          <w:szCs w:val="24"/>
        </w:rPr>
      </w:pPr>
      <w:r w:rsidRPr="001C49E1">
        <w:rPr>
          <w:rFonts w:eastAsia="Calibri" w:asciiTheme="minorHAnsi" w:hAnsiTheme="minorHAnsi" w:cstheme="minorHAnsi"/>
          <w:b/>
          <w:szCs w:val="24"/>
        </w:rPr>
        <w:t xml:space="preserve">Autoria da Emenda: </w:t>
      </w:r>
      <w:r w:rsidRPr="001C49E1" w:rsidR="003C269B">
        <w:rPr>
          <w:rFonts w:eastAsia="Calibri" w:asciiTheme="minorHAnsi" w:hAnsiTheme="minorHAnsi" w:cstheme="minorHAnsi"/>
          <w:szCs w:val="24"/>
        </w:rPr>
        <w:t xml:space="preserve">Vereador </w:t>
      </w:r>
      <w:r w:rsidR="001E54DB">
        <w:rPr>
          <w:rFonts w:eastAsia="Calibri" w:asciiTheme="minorHAnsi" w:hAnsiTheme="minorHAnsi" w:cstheme="minorHAnsi"/>
          <w:szCs w:val="24"/>
        </w:rPr>
        <w:t>Henrique Conti</w:t>
      </w:r>
      <w:r w:rsidRPr="001C49E1">
        <w:rPr>
          <w:rFonts w:eastAsia="Calibri" w:asciiTheme="minorHAnsi" w:hAnsiTheme="minorHAnsi" w:cstheme="minorHAnsi"/>
          <w:szCs w:val="24"/>
        </w:rPr>
        <w:t>.</w:t>
      </w:r>
    </w:p>
    <w:p w:rsidR="005F4237" w:rsidRPr="001C49E1" w:rsidP="00D92B73">
      <w:p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</w:p>
    <w:p w:rsidR="005F4237" w:rsidRPr="001C49E1" w:rsidP="00D92B73">
      <w:p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</w:p>
    <w:p w:rsidR="00DE4F3E" w:rsidRPr="001C49E1" w:rsidP="00D92B73">
      <w:p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</w:p>
    <w:p w:rsidR="00A779B8" w:rsidRPr="001C49E1" w:rsidP="00A779B8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1C49E1">
        <w:rPr>
          <w:rFonts w:asciiTheme="minorHAnsi" w:hAnsiTheme="minorHAnsi" w:cstheme="minorHAnsi"/>
          <w:b/>
          <w:i/>
          <w:color w:val="auto"/>
        </w:rPr>
        <w:t>À Comissão de Justiça e Redação,</w:t>
      </w:r>
    </w:p>
    <w:p w:rsidR="00A779B8" w:rsidRPr="001C49E1" w:rsidP="00A779B8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1C49E1">
        <w:rPr>
          <w:rFonts w:asciiTheme="minorHAnsi" w:hAnsiTheme="minorHAnsi" w:cstheme="minorHAnsi"/>
          <w:b/>
          <w:i/>
          <w:color w:val="auto"/>
        </w:rPr>
        <w:t>Exmo.</w:t>
      </w:r>
      <w:r w:rsidRPr="001C49E1" w:rsidR="006D0DE0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1C49E1" w:rsidR="006D0DE0">
        <w:rPr>
          <w:rFonts w:asciiTheme="minorHAnsi" w:hAnsiTheme="minorHAnsi" w:cstheme="minorHAnsi"/>
          <w:b/>
          <w:i/>
          <w:color w:val="auto"/>
        </w:rPr>
        <w:t>Sr.</w:t>
      </w:r>
      <w:r w:rsidRPr="001C49E1">
        <w:rPr>
          <w:rFonts w:asciiTheme="minorHAnsi" w:hAnsiTheme="minorHAnsi" w:cstheme="minorHAnsi"/>
          <w:b/>
          <w:i/>
          <w:color w:val="auto"/>
        </w:rPr>
        <w:t xml:space="preserve"> Presidente</w:t>
      </w:r>
      <w:r w:rsidRPr="001C49E1" w:rsidR="001A7907">
        <w:rPr>
          <w:rFonts w:asciiTheme="minorHAnsi" w:hAnsiTheme="minorHAnsi" w:cstheme="minorHAnsi"/>
          <w:b/>
          <w:i/>
          <w:color w:val="auto"/>
        </w:rPr>
        <w:t xml:space="preserve"> Vereador</w:t>
      </w:r>
      <w:r w:rsidRPr="001C49E1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1C49E1" w:rsidR="008A0037">
        <w:rPr>
          <w:rFonts w:asciiTheme="minorHAnsi" w:hAnsiTheme="minorHAnsi" w:cstheme="minorHAnsi"/>
          <w:b/>
          <w:i/>
          <w:color w:val="auto"/>
        </w:rPr>
        <w:t xml:space="preserve">Gabriel Bueno. </w:t>
      </w:r>
    </w:p>
    <w:p w:rsidR="00DE4F3E" w:rsidRPr="001C49E1" w:rsidP="00A779B8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DE4F3E" w:rsidRPr="001C49E1" w:rsidP="00A779B8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A779B8" w:rsidRPr="001C49E1" w:rsidP="00A779B8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A779B8" w:rsidRPr="001C49E1" w:rsidP="00A779B8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3C269B" w:rsidRPr="000144A5" w:rsidP="000144A5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color w:val="auto"/>
        </w:rPr>
      </w:pPr>
      <w:r w:rsidRPr="001C49E1">
        <w:rPr>
          <w:rFonts w:asciiTheme="minorHAnsi" w:hAnsiTheme="minorHAnsi" w:cstheme="minorHAnsi"/>
          <w:color w:val="auto"/>
        </w:rPr>
        <w:t xml:space="preserve">Trata-se de parecer jurídico relativo à emenda </w:t>
      </w:r>
      <w:r w:rsidRPr="001C49E1" w:rsidR="00F66D55">
        <w:rPr>
          <w:rFonts w:asciiTheme="minorHAnsi" w:hAnsiTheme="minorHAnsi" w:cstheme="minorHAnsi"/>
          <w:color w:val="auto"/>
        </w:rPr>
        <w:t>em epígrafe</w:t>
      </w:r>
      <w:r w:rsidRPr="001C49E1">
        <w:rPr>
          <w:rFonts w:asciiTheme="minorHAnsi" w:hAnsiTheme="minorHAnsi" w:cstheme="minorHAnsi"/>
          <w:color w:val="auto"/>
        </w:rPr>
        <w:t xml:space="preserve"> </w:t>
      </w:r>
      <w:r w:rsidRPr="001C49E1" w:rsidR="001A7907">
        <w:rPr>
          <w:rFonts w:asciiTheme="minorHAnsi" w:hAnsiTheme="minorHAnsi" w:cstheme="minorHAnsi"/>
          <w:color w:val="auto"/>
        </w:rPr>
        <w:t>que</w:t>
      </w:r>
      <w:r w:rsidRPr="001C49E1">
        <w:rPr>
          <w:rFonts w:asciiTheme="minorHAnsi" w:hAnsiTheme="minorHAnsi" w:cstheme="minorHAnsi"/>
          <w:color w:val="auto"/>
        </w:rPr>
        <w:t xml:space="preserve"> tenciona</w:t>
      </w:r>
      <w:r w:rsidRPr="001C49E1" w:rsidR="001A7907">
        <w:rPr>
          <w:rFonts w:asciiTheme="minorHAnsi" w:hAnsiTheme="minorHAnsi" w:cstheme="minorHAnsi"/>
          <w:color w:val="auto"/>
        </w:rPr>
        <w:t xml:space="preserve"> </w:t>
      </w:r>
      <w:r w:rsidR="000144A5">
        <w:rPr>
          <w:rFonts w:asciiTheme="minorHAnsi" w:hAnsiTheme="minorHAnsi" w:cstheme="minorHAnsi"/>
          <w:color w:val="auto"/>
        </w:rPr>
        <w:t xml:space="preserve">alterar o </w:t>
      </w:r>
      <w:r w:rsidR="001E54DB">
        <w:rPr>
          <w:rFonts w:asciiTheme="minorHAnsi" w:hAnsiTheme="minorHAnsi" w:cstheme="minorHAnsi"/>
          <w:color w:val="auto"/>
        </w:rPr>
        <w:t xml:space="preserve">inciso IV do </w:t>
      </w:r>
      <w:r w:rsidRPr="000144A5" w:rsidR="000144A5">
        <w:rPr>
          <w:rFonts w:asciiTheme="minorHAnsi" w:hAnsiTheme="minorHAnsi" w:cstheme="minorHAnsi"/>
          <w:color w:val="auto"/>
        </w:rPr>
        <w:t xml:space="preserve">artigo </w:t>
      </w:r>
      <w:r w:rsidR="001E54DB">
        <w:rPr>
          <w:rFonts w:asciiTheme="minorHAnsi" w:hAnsiTheme="minorHAnsi" w:cstheme="minorHAnsi"/>
          <w:color w:val="auto"/>
        </w:rPr>
        <w:t>1</w:t>
      </w:r>
      <w:r w:rsidRPr="000144A5" w:rsidR="000144A5">
        <w:rPr>
          <w:rFonts w:asciiTheme="minorHAnsi" w:hAnsiTheme="minorHAnsi" w:cstheme="minorHAnsi"/>
          <w:color w:val="auto"/>
        </w:rPr>
        <w:t>º do Projeto de Lei nº 1</w:t>
      </w:r>
      <w:r w:rsidR="001E54DB">
        <w:rPr>
          <w:rFonts w:asciiTheme="minorHAnsi" w:hAnsiTheme="minorHAnsi" w:cstheme="minorHAnsi"/>
          <w:color w:val="auto"/>
        </w:rPr>
        <w:t>24</w:t>
      </w:r>
      <w:r w:rsidRPr="000144A5" w:rsidR="000144A5">
        <w:rPr>
          <w:rFonts w:asciiTheme="minorHAnsi" w:hAnsiTheme="minorHAnsi" w:cstheme="minorHAnsi"/>
          <w:color w:val="auto"/>
        </w:rPr>
        <w:t>/202</w:t>
      </w:r>
      <w:r w:rsidR="001E54DB">
        <w:rPr>
          <w:rFonts w:asciiTheme="minorHAnsi" w:hAnsiTheme="minorHAnsi" w:cstheme="minorHAnsi"/>
          <w:color w:val="auto"/>
        </w:rPr>
        <w:t>2</w:t>
      </w:r>
      <w:r w:rsidR="000144A5">
        <w:rPr>
          <w:rFonts w:asciiTheme="minorHAnsi" w:hAnsiTheme="minorHAnsi" w:cstheme="minorHAnsi"/>
          <w:color w:val="auto"/>
        </w:rPr>
        <w:t>, que</w:t>
      </w:r>
      <w:r w:rsidR="001E54DB">
        <w:rPr>
          <w:rFonts w:asciiTheme="minorHAnsi" w:hAnsiTheme="minorHAnsi" w:cstheme="minorHAnsi"/>
          <w:color w:val="auto"/>
        </w:rPr>
        <w:t xml:space="preserve"> </w:t>
      </w:r>
      <w:r w:rsidRPr="001C49E1" w:rsidR="001E54DB">
        <w:rPr>
          <w:rFonts w:asciiTheme="minorHAnsi" w:hAnsiTheme="minorHAnsi" w:cstheme="minorHAnsi"/>
        </w:rPr>
        <w:t>“</w:t>
      </w:r>
      <w:r w:rsidRPr="001E54DB" w:rsidR="001E54DB">
        <w:rPr>
          <w:rFonts w:asciiTheme="minorHAnsi" w:hAnsiTheme="minorHAnsi" w:cstheme="minorHAnsi"/>
          <w:i/>
        </w:rPr>
        <w:t>Disciplina as áreas de preservação</w:t>
      </w:r>
      <w:r w:rsidR="001E54DB">
        <w:rPr>
          <w:rFonts w:asciiTheme="minorHAnsi" w:hAnsiTheme="minorHAnsi" w:cstheme="minorHAnsi"/>
          <w:i/>
        </w:rPr>
        <w:t xml:space="preserve"> </w:t>
      </w:r>
      <w:r w:rsidRPr="001E54DB" w:rsidR="001E54DB">
        <w:rPr>
          <w:rFonts w:asciiTheme="minorHAnsi" w:hAnsiTheme="minorHAnsi" w:cstheme="minorHAnsi"/>
          <w:i/>
        </w:rPr>
        <w:t>perman</w:t>
      </w:r>
      <w:r w:rsidR="001E54DB">
        <w:rPr>
          <w:rFonts w:asciiTheme="minorHAnsi" w:hAnsiTheme="minorHAnsi" w:cstheme="minorHAnsi"/>
          <w:i/>
        </w:rPr>
        <w:t>ente em zonas rurais e urbanas”</w:t>
      </w:r>
      <w:r w:rsidRPr="001C49E1">
        <w:rPr>
          <w:rFonts w:asciiTheme="minorHAnsi" w:hAnsiTheme="minorHAnsi" w:cstheme="minorHAnsi"/>
        </w:rPr>
        <w:t>, nos seguintes termos:</w:t>
      </w:r>
    </w:p>
    <w:tbl>
      <w:tblPr>
        <w:tblStyle w:val="TableGrid"/>
        <w:tblW w:w="8897" w:type="dxa"/>
        <w:tblLayout w:type="fixed"/>
        <w:tblLook w:val="04A0"/>
      </w:tblPr>
      <w:tblGrid>
        <w:gridCol w:w="4503"/>
        <w:gridCol w:w="4394"/>
      </w:tblGrid>
      <w:tr w:rsidTr="00FD647C">
        <w:tblPrEx>
          <w:tblW w:w="8897" w:type="dxa"/>
          <w:tblLayout w:type="fixed"/>
          <w:tblLook w:val="04A0"/>
        </w:tblPrEx>
        <w:tc>
          <w:tcPr>
            <w:tcW w:w="4503" w:type="dxa"/>
          </w:tcPr>
          <w:p w:rsidR="00DE4F3E" w:rsidRPr="00E000C3" w:rsidP="00FD647C">
            <w:pPr>
              <w:tabs>
                <w:tab w:val="left" w:pos="1701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3C269B" w:rsidRPr="00E000C3" w:rsidP="001E54DB">
            <w:pPr>
              <w:tabs>
                <w:tab w:val="left" w:pos="1701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E00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Redação proposta no PL nº </w:t>
            </w:r>
            <w:r w:rsidRPr="00E000C3" w:rsidR="000144A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  <w:r w:rsidRPr="00E000C3" w:rsidR="001E54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24</w:t>
            </w:r>
            <w:r w:rsidRPr="00E00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/202</w:t>
            </w:r>
            <w:r w:rsidRPr="00E000C3" w:rsidR="001E54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DE4F3E" w:rsidRPr="00E000C3" w:rsidP="003C269B">
            <w:pPr>
              <w:tabs>
                <w:tab w:val="left" w:pos="1701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3C269B" w:rsidRPr="00E000C3" w:rsidP="001E54DB">
            <w:pPr>
              <w:tabs>
                <w:tab w:val="left" w:pos="1701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E00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Emenda 0</w:t>
            </w:r>
            <w:r w:rsidRPr="00E000C3" w:rsidR="001E54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  <w:r w:rsidRPr="00E00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ao </w:t>
            </w:r>
            <w:r w:rsidRPr="00E000C3" w:rsidR="00D06E0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PL nº </w:t>
            </w:r>
            <w:r w:rsidRPr="00E000C3" w:rsidR="001E54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124</w:t>
            </w:r>
            <w:r w:rsidRPr="00E00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/202</w:t>
            </w:r>
            <w:r w:rsidRPr="00E000C3" w:rsidR="001E54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</w:tr>
      <w:tr w:rsidTr="00FD647C">
        <w:tblPrEx>
          <w:tblW w:w="8897" w:type="dxa"/>
          <w:tblLayout w:type="fixed"/>
          <w:tblLook w:val="04A0"/>
        </w:tblPrEx>
        <w:tc>
          <w:tcPr>
            <w:tcW w:w="4503" w:type="dxa"/>
          </w:tcPr>
          <w:p w:rsidR="000144A5" w:rsidRPr="00E000C3" w:rsidP="000144A5">
            <w:pPr>
              <w:spacing w:after="120" w:line="276" w:lineRule="auto"/>
              <w:jc w:val="both"/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E000C3"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  <w:t>Art. 1º Considera-se Área de Preservação Permanente, em zonas rurais ou urbanas, para os efeitos desta Lei:</w:t>
            </w:r>
          </w:p>
          <w:p w:rsidR="009663D4" w:rsidRPr="00E000C3" w:rsidP="000144A5">
            <w:pPr>
              <w:spacing w:after="120" w:line="276" w:lineRule="auto"/>
              <w:jc w:val="both"/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E000C3"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  <w:t>(...)</w:t>
            </w:r>
          </w:p>
          <w:p w:rsidR="009663D4" w:rsidRPr="00E000C3" w:rsidP="00E000C3">
            <w:pPr>
              <w:spacing w:after="120" w:line="276" w:lineRule="auto"/>
              <w:jc w:val="both"/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E000C3"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  <w:t>IV - as áreas no entorno das nascentes e dos olhos d’água perenes, qualquer que seja sua situação topográfica, no raio mínimo de 50 (cinquenta) metros;</w:t>
            </w:r>
          </w:p>
        </w:tc>
        <w:tc>
          <w:tcPr>
            <w:tcW w:w="4394" w:type="dxa"/>
          </w:tcPr>
          <w:p w:rsidR="008A2019" w:rsidRPr="00E000C3" w:rsidP="008A2019"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E000C3"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  <w:t>Art. 1º...</w:t>
            </w:r>
          </w:p>
          <w:p w:rsidR="009663D4" w:rsidRPr="00E000C3" w:rsidP="008A2019"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8A2019" w:rsidRPr="00E000C3" w:rsidP="008A2019"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E000C3"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  <w:t>...</w:t>
            </w:r>
          </w:p>
          <w:p w:rsidR="009663D4" w:rsidRPr="00E000C3" w:rsidP="008A2019">
            <w:pPr>
              <w:autoSpaceDE w:val="0"/>
              <w:autoSpaceDN w:val="0"/>
              <w:adjustRightInd w:val="0"/>
              <w:jc w:val="both"/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9663D4" w:rsidRPr="00E000C3" w:rsidP="008A2019">
            <w:pPr>
              <w:autoSpaceDE w:val="0"/>
              <w:autoSpaceDN w:val="0"/>
              <w:adjustRightInd w:val="0"/>
              <w:jc w:val="both"/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0144A5" w:rsidRPr="00E000C3" w:rsidP="008A2019">
            <w:pPr>
              <w:autoSpaceDE w:val="0"/>
              <w:autoSpaceDN w:val="0"/>
              <w:adjustRightInd w:val="0"/>
              <w:jc w:val="both"/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E000C3"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  <w:t xml:space="preserve">IV – as áreas no entorno das nascentes e dos olhos d´água perenes e </w:t>
            </w:r>
            <w:r w:rsidRPr="00E000C3">
              <w:rPr>
                <w:rFonts w:eastAsia="Calibri" w:asciiTheme="minorHAnsi" w:hAnsiTheme="minorHAnsi" w:cstheme="minorHAnsi"/>
                <w:b/>
                <w:i/>
                <w:color w:val="000000"/>
                <w:sz w:val="22"/>
                <w:szCs w:val="22"/>
                <w:u w:val="single"/>
              </w:rPr>
              <w:t>olhos d´água intermitentes,</w:t>
            </w:r>
            <w:r w:rsidRPr="00E000C3"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  <w:t xml:space="preserve"> qualquer que seja sua situação topográfica, no raio mínimo de 50 (cinquenta) metros.</w:t>
            </w:r>
          </w:p>
        </w:tc>
      </w:tr>
    </w:tbl>
    <w:p w:rsidR="003C269B" w:rsidRPr="001C49E1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i/>
          <w:color w:val="auto"/>
          <w:sz w:val="4"/>
          <w:szCs w:val="4"/>
        </w:rPr>
      </w:pPr>
    </w:p>
    <w:p w:rsidR="00A779B8" w:rsidRPr="001C49E1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color w:val="auto"/>
        </w:rPr>
      </w:pPr>
      <w:r w:rsidRPr="001C49E1">
        <w:rPr>
          <w:rFonts w:asciiTheme="minorHAnsi" w:hAnsiTheme="minorHAnsi" w:cstheme="minorHAnsi"/>
          <w:i/>
          <w:color w:val="auto"/>
        </w:rPr>
        <w:t>Ab initio</w:t>
      </w:r>
      <w:r w:rsidRPr="001C49E1">
        <w:rPr>
          <w:rFonts w:asciiTheme="minorHAnsi" w:hAnsiTheme="minorHAnsi" w:cstheme="minorHAnsi"/>
          <w:color w:val="auto"/>
        </w:rPr>
        <w:t>, cumpre destacar a competência regimental da Comissão de Justiça e Redação estabelecida no artigo 38.</w:t>
      </w:r>
    </w:p>
    <w:p w:rsidR="00A779B8" w:rsidRPr="001C49E1" w:rsidP="006D0DE0">
      <w:pPr>
        <w:spacing w:after="120" w:line="360" w:lineRule="auto"/>
        <w:ind w:firstLine="2268"/>
        <w:jc w:val="both"/>
        <w:rPr>
          <w:rFonts w:asciiTheme="minorHAnsi" w:hAnsiTheme="minorHAnsi" w:cstheme="minorHAnsi"/>
        </w:rPr>
      </w:pPr>
      <w:r w:rsidRPr="001C49E1">
        <w:rPr>
          <w:rFonts w:asciiTheme="minorHAnsi" w:hAnsiTheme="minorHAnsi" w:cstheme="minorHAnsi"/>
          <w:szCs w:val="24"/>
        </w:rPr>
        <w:t>Outrossim</w:t>
      </w:r>
      <w:r w:rsidRPr="001C49E1">
        <w:rPr>
          <w:rFonts w:asciiTheme="minorHAnsi" w:hAnsiTheme="minorHAnsi" w:cstheme="minorHAnsi"/>
          <w:szCs w:val="24"/>
        </w:rPr>
        <w:t xml:space="preserve">, ressalta-se que a opinião jurídica exarada neste parecer </w:t>
      </w:r>
      <w:r w:rsidRPr="001C49E1">
        <w:rPr>
          <w:rFonts w:asciiTheme="minorHAnsi" w:hAnsiTheme="minorHAnsi" w:cstheme="minorHAnsi"/>
          <w:b/>
          <w:szCs w:val="24"/>
        </w:rPr>
        <w:t>não tem força vinculante,</w:t>
      </w:r>
      <w:r w:rsidRPr="001C49E1">
        <w:rPr>
          <w:rFonts w:asciiTheme="minorHAnsi" w:hAnsiTheme="minorHAnsi" w:cstheme="minorHAnsi"/>
          <w:szCs w:val="24"/>
        </w:rPr>
        <w:t xml:space="preserve"> sendo meramente opinativo não fundamentando </w:t>
      </w:r>
      <w:r w:rsidRPr="001C49E1">
        <w:rPr>
          <w:rFonts w:asciiTheme="minorHAnsi" w:hAnsiTheme="minorHAnsi" w:cstheme="minorHAnsi"/>
          <w:szCs w:val="24"/>
        </w:rPr>
        <w:t>decisão</w:t>
      </w:r>
      <w:r w:rsidRPr="001C49E1">
        <w:rPr>
          <w:rFonts w:asciiTheme="minorHAnsi" w:hAnsiTheme="minorHAnsi" w:cstheme="minorHAnsi"/>
          <w:szCs w:val="24"/>
        </w:rPr>
        <w:t xml:space="preserve"> proferida pelas Comissões e/ou nobres vereadores.</w:t>
      </w:r>
      <w:r w:rsidRPr="001C49E1" w:rsidR="006D0DE0">
        <w:rPr>
          <w:rFonts w:asciiTheme="minorHAnsi" w:hAnsiTheme="minorHAnsi" w:cstheme="minorHAnsi"/>
          <w:szCs w:val="24"/>
        </w:rPr>
        <w:t xml:space="preserve"> </w:t>
      </w:r>
      <w:r w:rsidRPr="001C49E1">
        <w:rPr>
          <w:rFonts w:asciiTheme="minorHAnsi" w:hAnsiTheme="minorHAnsi" w:cstheme="minorHAnsi"/>
        </w:rPr>
        <w:t xml:space="preserve">Nesse sentido é o entendimento do </w:t>
      </w:r>
      <w:r w:rsidRPr="001C49E1" w:rsidR="007E38B4">
        <w:rPr>
          <w:rFonts w:asciiTheme="minorHAnsi" w:hAnsiTheme="minorHAnsi" w:cstheme="minorHAnsi"/>
        </w:rPr>
        <w:t xml:space="preserve">C. </w:t>
      </w:r>
      <w:r w:rsidRPr="001C49E1">
        <w:rPr>
          <w:rFonts w:asciiTheme="minorHAnsi" w:hAnsiTheme="minorHAnsi" w:cstheme="minorHAnsi"/>
        </w:rPr>
        <w:t>Supremo Tribunal Federal</w:t>
      </w:r>
      <w:r>
        <w:rPr>
          <w:rStyle w:val="FootnoteReference"/>
          <w:rFonts w:asciiTheme="minorHAnsi" w:hAnsiTheme="minorHAnsi" w:cstheme="minorHAnsi"/>
        </w:rPr>
        <w:footnoteReference w:id="2"/>
      </w:r>
      <w:r w:rsidRPr="001C49E1" w:rsidR="001A7907">
        <w:rPr>
          <w:rFonts w:asciiTheme="minorHAnsi" w:hAnsiTheme="minorHAnsi" w:cstheme="minorHAnsi"/>
        </w:rPr>
        <w:t>.</w:t>
      </w:r>
    </w:p>
    <w:p w:rsidR="00A779B8" w:rsidRPr="001C49E1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szCs w:val="24"/>
        </w:rPr>
      </w:pPr>
      <w:r w:rsidRPr="001C49E1">
        <w:rPr>
          <w:rFonts w:eastAsia="Calibri" w:asciiTheme="minorHAnsi" w:hAnsiTheme="minorHAnsi" w:cstheme="minorHAnsi"/>
          <w:szCs w:val="24"/>
        </w:rPr>
        <w:t>Desta feita, considerando os aspectos jurídicos</w:t>
      </w:r>
      <w:r w:rsidRPr="001C49E1" w:rsidR="007E38B4">
        <w:rPr>
          <w:rFonts w:eastAsia="Calibri" w:asciiTheme="minorHAnsi" w:hAnsiTheme="minorHAnsi" w:cstheme="minorHAnsi"/>
          <w:szCs w:val="24"/>
        </w:rPr>
        <w:t>, passamos à</w:t>
      </w:r>
      <w:r w:rsidRPr="001C49E1">
        <w:rPr>
          <w:rFonts w:eastAsia="Calibri" w:asciiTheme="minorHAnsi" w:hAnsiTheme="minorHAnsi" w:cstheme="minorHAnsi"/>
          <w:szCs w:val="24"/>
        </w:rPr>
        <w:t xml:space="preserve"> </w:t>
      </w:r>
      <w:r w:rsidRPr="001C49E1">
        <w:rPr>
          <w:rFonts w:eastAsia="Calibri" w:asciiTheme="minorHAnsi" w:hAnsiTheme="minorHAnsi" w:cstheme="minorHAnsi"/>
          <w:b/>
          <w:szCs w:val="24"/>
        </w:rPr>
        <w:t>análise técnica</w:t>
      </w:r>
      <w:r w:rsidRPr="001C49E1">
        <w:rPr>
          <w:rFonts w:eastAsia="Calibri" w:asciiTheme="minorHAnsi" w:hAnsiTheme="minorHAnsi" w:cstheme="minorHAnsi"/>
          <w:szCs w:val="24"/>
        </w:rPr>
        <w:t xml:space="preserve"> do projeto em epígrafe solicitado.</w:t>
      </w:r>
    </w:p>
    <w:p w:rsidR="00A779B8" w:rsidRPr="001C49E1" w:rsidP="00A779B8">
      <w:pPr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1C49E1">
        <w:rPr>
          <w:rFonts w:asciiTheme="minorHAnsi" w:hAnsiTheme="minorHAnsi" w:cstheme="minorHAnsi"/>
          <w:szCs w:val="24"/>
        </w:rPr>
        <w:t>No que tange aos projetos de emendas o Regimento Interno desta Casa de Leis assim estabelece:</w:t>
      </w:r>
    </w:p>
    <w:p w:rsidR="00A779B8" w:rsidRPr="001C49E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 xml:space="preserve">Art. 140. </w:t>
      </w:r>
      <w:r w:rsidRPr="001C49E1">
        <w:rPr>
          <w:rFonts w:asciiTheme="minorHAnsi" w:hAnsiTheme="minorHAnsi" w:cstheme="minorHAnsi"/>
          <w:i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1C49E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C49E1">
        <w:rPr>
          <w:rFonts w:asciiTheme="minorHAnsi" w:hAnsiTheme="minorHAnsi" w:cstheme="minorHAnsi"/>
          <w:b/>
          <w:i/>
          <w:sz w:val="22"/>
          <w:szCs w:val="22"/>
        </w:rPr>
        <w:t xml:space="preserve">§ 1º. Emenda supressiva é a que manda suprimir, em parte ou no todo, o artigo do projeto. </w:t>
      </w:r>
    </w:p>
    <w:p w:rsidR="00A779B8" w:rsidRPr="001C49E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 xml:space="preserve">§ 2º. Emenda substitutiva é a que deve ser colocada no lugar do artigo. </w:t>
      </w:r>
    </w:p>
    <w:p w:rsidR="00A779B8" w:rsidRPr="001C49E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 xml:space="preserve">§ 3º. Emenda aditiva é a que deve ser acrescentada aos termos do artigo. </w:t>
      </w:r>
    </w:p>
    <w:p w:rsidR="00A779B8" w:rsidRPr="001C49E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C49E1">
        <w:rPr>
          <w:rFonts w:asciiTheme="minorHAnsi" w:hAnsiTheme="minorHAnsi" w:cstheme="minorHAnsi"/>
          <w:b/>
          <w:i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1C49E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 xml:space="preserve">§ 5º. A emenda apresentada à outra emenda denomina-se subemenda. </w:t>
      </w:r>
    </w:p>
    <w:p w:rsidR="00A779B8" w:rsidRPr="001C49E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 xml:space="preserve">Art. 141. </w:t>
      </w:r>
      <w:r w:rsidRPr="001C49E1">
        <w:rPr>
          <w:rFonts w:asciiTheme="minorHAnsi" w:hAnsiTheme="minorHAnsi" w:cstheme="minorHAnsi"/>
          <w:b/>
          <w:i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1C49E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 xml:space="preserve">§ 1º. O autor do projeto que receber substitutivo ou </w:t>
      </w:r>
      <w:r w:rsidRPr="001C49E1">
        <w:rPr>
          <w:rFonts w:asciiTheme="minorHAnsi" w:hAnsiTheme="minorHAnsi" w:cstheme="minorHAnsi"/>
          <w:i/>
          <w:sz w:val="22"/>
          <w:szCs w:val="22"/>
        </w:rPr>
        <w:t>emenda estranhos</w:t>
      </w:r>
      <w:r w:rsidRPr="001C49E1">
        <w:rPr>
          <w:rFonts w:asciiTheme="minorHAnsi" w:hAnsiTheme="minorHAnsi" w:cstheme="minorHAnsi"/>
          <w:i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1C49E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>§ 2º. Da decisão do Presidente caberá recurso ao Plenário, a ser proposto pelo autor do projeto ou do substitutivo ou emenda.</w:t>
      </w:r>
    </w:p>
    <w:p w:rsidR="00A779B8" w:rsidRPr="001C49E1" w:rsidP="009663D4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1C49E1">
        <w:rPr>
          <w:rFonts w:asciiTheme="minorHAnsi" w:hAnsiTheme="minorHAnsi" w:cstheme="minorHAnsi"/>
          <w:szCs w:val="24"/>
        </w:rPr>
        <w:t>Destarte, verifica-se que o projeto de emenda atende aos dispositivos do Regimento Interno da Câmara, não havendo óbice regimental na sua tramitação e</w:t>
      </w:r>
      <w:r w:rsidRPr="001C49E1" w:rsidR="00DE4F3E">
        <w:rPr>
          <w:rFonts w:asciiTheme="minorHAnsi" w:hAnsiTheme="minorHAnsi" w:cstheme="minorHAnsi"/>
          <w:szCs w:val="24"/>
        </w:rPr>
        <w:t>, quanto à matéria</w:t>
      </w:r>
      <w:r w:rsidRPr="001C49E1" w:rsidR="00FF419B">
        <w:rPr>
          <w:rFonts w:asciiTheme="minorHAnsi" w:hAnsiTheme="minorHAnsi" w:cstheme="minorHAnsi"/>
          <w:szCs w:val="24"/>
        </w:rPr>
        <w:t xml:space="preserve">, concluímos pela constitucionalidade </w:t>
      </w:r>
      <w:r w:rsidR="00F632CB">
        <w:rPr>
          <w:rFonts w:asciiTheme="minorHAnsi" w:hAnsiTheme="minorHAnsi" w:cstheme="minorHAnsi"/>
          <w:szCs w:val="24"/>
        </w:rPr>
        <w:t>da emenda que tenciona</w:t>
      </w:r>
      <w:r w:rsidR="009663D4">
        <w:rPr>
          <w:rFonts w:asciiTheme="minorHAnsi" w:hAnsiTheme="minorHAnsi" w:cstheme="minorHAnsi"/>
          <w:szCs w:val="24"/>
        </w:rPr>
        <w:t xml:space="preserve"> adequa</w:t>
      </w:r>
      <w:r w:rsidR="00F632CB">
        <w:rPr>
          <w:rFonts w:asciiTheme="minorHAnsi" w:hAnsiTheme="minorHAnsi" w:cstheme="minorHAnsi"/>
          <w:szCs w:val="24"/>
        </w:rPr>
        <w:t>r o projeto de lei</w:t>
      </w:r>
      <w:r w:rsidR="009663D4">
        <w:rPr>
          <w:rFonts w:asciiTheme="minorHAnsi" w:hAnsiTheme="minorHAnsi" w:cstheme="minorHAnsi"/>
          <w:szCs w:val="24"/>
        </w:rPr>
        <w:t xml:space="preserve"> ao entendimento do Supremo Tribunal Federal</w:t>
      </w:r>
      <w:r>
        <w:rPr>
          <w:rStyle w:val="FootnoteReference"/>
          <w:rFonts w:asciiTheme="minorHAnsi" w:hAnsiTheme="minorHAnsi" w:cstheme="minorHAnsi"/>
          <w:szCs w:val="24"/>
        </w:rPr>
        <w:footnoteReference w:id="3"/>
      </w:r>
      <w:r w:rsidR="00F632CB">
        <w:rPr>
          <w:rFonts w:asciiTheme="minorHAnsi" w:hAnsiTheme="minorHAnsi" w:cstheme="minorHAnsi"/>
          <w:szCs w:val="24"/>
        </w:rPr>
        <w:t>,</w:t>
      </w:r>
      <w:r w:rsidR="009663D4">
        <w:rPr>
          <w:rFonts w:asciiTheme="minorHAnsi" w:hAnsiTheme="minorHAnsi" w:cstheme="minorHAnsi"/>
          <w:szCs w:val="24"/>
        </w:rPr>
        <w:t xml:space="preserve"> que conferindo </w:t>
      </w:r>
      <w:r w:rsidRPr="009663D4" w:rsidR="009663D4">
        <w:rPr>
          <w:rFonts w:asciiTheme="minorHAnsi" w:hAnsiTheme="minorHAnsi" w:cstheme="minorHAnsi"/>
          <w:szCs w:val="24"/>
        </w:rPr>
        <w:t>interpretação conforme ao artigo 4º, inciso IV, da Lei n. 12.651/2017 reconheceu que os entornos das nascentes e dos olhos d´água intermitentes configuram área de preservação permanente</w:t>
      </w:r>
      <w:r w:rsidR="009663D4">
        <w:rPr>
          <w:rFonts w:asciiTheme="minorHAnsi" w:hAnsiTheme="minorHAnsi" w:cstheme="minorHAnsi"/>
          <w:szCs w:val="24"/>
        </w:rPr>
        <w:t>.</w:t>
      </w:r>
      <w:r w:rsidRPr="001C49E1">
        <w:rPr>
          <w:rFonts w:asciiTheme="minorHAnsi" w:hAnsiTheme="minorHAnsi" w:cstheme="minorHAnsi"/>
          <w:szCs w:val="24"/>
        </w:rPr>
        <w:t xml:space="preserve"> </w:t>
      </w:r>
      <w:r w:rsidRPr="001C49E1" w:rsidR="00721F99">
        <w:rPr>
          <w:rFonts w:asciiTheme="minorHAnsi" w:hAnsiTheme="minorHAnsi" w:cstheme="minorHAnsi"/>
          <w:szCs w:val="24"/>
        </w:rPr>
        <w:t>No exame do</w:t>
      </w:r>
      <w:r w:rsidRPr="001C49E1" w:rsidR="001A7907">
        <w:rPr>
          <w:rFonts w:asciiTheme="minorHAnsi" w:hAnsiTheme="minorHAnsi" w:cstheme="minorHAnsi"/>
          <w:szCs w:val="24"/>
        </w:rPr>
        <w:t xml:space="preserve"> mérito</w:t>
      </w:r>
      <w:r w:rsidRPr="001C49E1">
        <w:rPr>
          <w:rFonts w:asciiTheme="minorHAnsi" w:hAnsiTheme="minorHAnsi" w:cstheme="minorHAnsi"/>
          <w:szCs w:val="24"/>
        </w:rPr>
        <w:t xml:space="preserve"> o</w:t>
      </w:r>
      <w:r w:rsidRPr="001C49E1" w:rsidR="00E85CA4">
        <w:rPr>
          <w:rFonts w:asciiTheme="minorHAnsi" w:hAnsiTheme="minorHAnsi" w:cstheme="minorHAnsi"/>
          <w:szCs w:val="24"/>
        </w:rPr>
        <w:t xml:space="preserve"> Plenário é</w:t>
      </w:r>
      <w:r w:rsidRPr="001C49E1">
        <w:rPr>
          <w:rFonts w:asciiTheme="minorHAnsi" w:hAnsiTheme="minorHAnsi" w:cstheme="minorHAnsi"/>
          <w:szCs w:val="24"/>
        </w:rPr>
        <w:t xml:space="preserve"> </w:t>
      </w:r>
      <w:r w:rsidRPr="001C49E1" w:rsidR="00E85CA4">
        <w:rPr>
          <w:rFonts w:asciiTheme="minorHAnsi" w:hAnsiTheme="minorHAnsi" w:cstheme="minorHAnsi"/>
          <w:szCs w:val="24"/>
        </w:rPr>
        <w:t>s</w:t>
      </w:r>
      <w:r w:rsidRPr="001C49E1">
        <w:rPr>
          <w:rFonts w:asciiTheme="minorHAnsi" w:hAnsiTheme="minorHAnsi" w:cstheme="minorHAnsi"/>
          <w:szCs w:val="24"/>
        </w:rPr>
        <w:t>oberano</w:t>
      </w:r>
      <w:r w:rsidRPr="001C49E1" w:rsidR="00E85CA4">
        <w:rPr>
          <w:rFonts w:asciiTheme="minorHAnsi" w:hAnsiTheme="minorHAnsi" w:cstheme="minorHAnsi"/>
          <w:szCs w:val="24"/>
        </w:rPr>
        <w:t>.</w:t>
      </w:r>
    </w:p>
    <w:p w:rsidR="00A779B8" w:rsidRPr="001C49E1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1C49E1">
        <w:rPr>
          <w:rFonts w:asciiTheme="minorHAnsi" w:hAnsiTheme="minorHAnsi" w:cstheme="minorHAnsi"/>
          <w:szCs w:val="24"/>
        </w:rPr>
        <w:t>É o parecer, a superior consideração.</w:t>
      </w:r>
    </w:p>
    <w:p w:rsidR="00A779B8" w:rsidP="00F66D55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1C49E1">
        <w:rPr>
          <w:rFonts w:asciiTheme="minorHAnsi" w:hAnsiTheme="minorHAnsi" w:cstheme="minorHAnsi"/>
          <w:szCs w:val="24"/>
        </w:rPr>
        <w:t>Procuradoria</w:t>
      </w:r>
      <w:r w:rsidR="001E54DB">
        <w:rPr>
          <w:rFonts w:asciiTheme="minorHAnsi" w:hAnsiTheme="minorHAnsi" w:cstheme="minorHAnsi"/>
          <w:szCs w:val="24"/>
        </w:rPr>
        <w:t>, 05</w:t>
      </w:r>
      <w:r w:rsidRPr="001C49E1" w:rsidR="001A7907">
        <w:rPr>
          <w:rFonts w:asciiTheme="minorHAnsi" w:hAnsiTheme="minorHAnsi" w:cstheme="minorHAnsi"/>
          <w:szCs w:val="24"/>
        </w:rPr>
        <w:t xml:space="preserve"> de </w:t>
      </w:r>
      <w:r w:rsidR="001E54DB">
        <w:rPr>
          <w:rFonts w:asciiTheme="minorHAnsi" w:hAnsiTheme="minorHAnsi" w:cstheme="minorHAnsi"/>
          <w:szCs w:val="24"/>
        </w:rPr>
        <w:t>abril</w:t>
      </w:r>
      <w:r w:rsidRPr="001C49E1">
        <w:rPr>
          <w:rFonts w:asciiTheme="minorHAnsi" w:hAnsiTheme="minorHAnsi" w:cstheme="minorHAnsi"/>
          <w:szCs w:val="24"/>
        </w:rPr>
        <w:t xml:space="preserve"> de 202</w:t>
      </w:r>
      <w:r w:rsidRPr="001C49E1" w:rsidR="007D2103">
        <w:rPr>
          <w:rFonts w:asciiTheme="minorHAnsi" w:hAnsiTheme="minorHAnsi" w:cstheme="minorHAnsi"/>
          <w:szCs w:val="24"/>
        </w:rPr>
        <w:t>3</w:t>
      </w:r>
      <w:r w:rsidRPr="001C49E1">
        <w:rPr>
          <w:rFonts w:asciiTheme="minorHAnsi" w:hAnsiTheme="minorHAnsi" w:cstheme="minorHAnsi"/>
          <w:szCs w:val="24"/>
        </w:rPr>
        <w:t>.</w:t>
      </w:r>
    </w:p>
    <w:p w:rsidR="00BA2767" w:rsidP="00F66D55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6D0DE0" w:rsidRPr="001C49E1" w:rsidP="006D0DE0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1C49E1">
        <w:rPr>
          <w:rFonts w:asciiTheme="minorHAnsi" w:hAnsiTheme="minorHAnsi" w:cstheme="minorHAnsi"/>
          <w:b/>
          <w:szCs w:val="24"/>
        </w:rPr>
        <w:t>Rosemeire de Souza Cardoso Barbosa</w:t>
      </w:r>
    </w:p>
    <w:p w:rsidR="006D0DE0" w:rsidRPr="001C49E1" w:rsidP="006D0DE0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1C49E1">
        <w:rPr>
          <w:rFonts w:asciiTheme="minorHAnsi" w:hAnsiTheme="minorHAnsi" w:cstheme="minorHAnsi"/>
          <w:b/>
          <w:szCs w:val="24"/>
        </w:rPr>
        <w:t>Procuradora - OAB/SP 308.298</w:t>
      </w:r>
    </w:p>
    <w:p w:rsidR="00646BC4" w:rsidRPr="001C49E1" w:rsidP="00D92B73">
      <w:pPr>
        <w:pStyle w:val="BodyText"/>
        <w:spacing w:after="0" w:line="240" w:lineRule="auto"/>
        <w:jc w:val="center"/>
        <w:rPr>
          <w:rFonts w:asciiTheme="minorHAnsi" w:hAnsiTheme="minorHAnsi" w:cstheme="minorHAnsi"/>
        </w:rPr>
      </w:pPr>
      <w:r w:rsidRPr="001C49E1">
        <w:rPr>
          <w:rFonts w:asciiTheme="minorHAnsi" w:hAnsiTheme="minorHAnsi" w:cstheme="minorHAnsi"/>
          <w:szCs w:val="24"/>
        </w:rPr>
        <w:t>Assinado digitalmente</w:t>
      </w:r>
    </w:p>
    <w:sectPr w:rsidSect="001A7907">
      <w:headerReference w:type="default" r:id="rId6"/>
      <w:footerReference w:type="default" r:id="rId7"/>
      <w:type w:val="continuous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0144A5" w:rsidP="00A853E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0144A5" w:rsidP="00A853E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0144A5" w:rsidP="00A853E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0144A5" w:rsidP="00A853E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0144A5" w:rsidP="00A853E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A2767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A2767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144A5">
      <w:pPr>
        <w:spacing w:after="0" w:line="240" w:lineRule="auto"/>
      </w:pPr>
      <w:r>
        <w:separator/>
      </w:r>
    </w:p>
  </w:footnote>
  <w:footnote w:type="continuationSeparator" w:id="1">
    <w:p w:rsidR="000144A5">
      <w:pPr>
        <w:spacing w:after="0" w:line="240" w:lineRule="auto"/>
      </w:pPr>
      <w:r>
        <w:continuationSeparator/>
      </w:r>
    </w:p>
  </w:footnote>
  <w:footnote w:id="2">
    <w:p w:rsidR="000144A5" w:rsidP="001A7907">
      <w:pPr>
        <w:pStyle w:val="Default"/>
        <w:spacing w:after="240"/>
        <w:jc w:val="both"/>
      </w:pPr>
      <w:r>
        <w:rPr>
          <w:rStyle w:val="FootnoteReference"/>
        </w:rPr>
        <w:footnoteRef/>
      </w:r>
      <w:r>
        <w:t xml:space="preserve"> 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>ex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 xml:space="preserve"> 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>oficio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</w:footnote>
  <w:footnote w:id="3">
    <w:p w:rsidR="00E000C3" w:rsidRPr="00E000C3" w:rsidP="00F632CB">
      <w:pPr>
        <w:pStyle w:val="FootnoteText"/>
        <w:jc w:val="both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="00F632CB">
        <w:t>ADI 4903/DF. Ementa: (...)</w:t>
      </w:r>
      <w:r>
        <w:t xml:space="preserve"> </w:t>
      </w:r>
      <w:r w:rsidR="00F632CB">
        <w:t>22. Apreciação pormenorizada das impugnações aos dispositivos do novo Código Florestal (</w:t>
      </w:r>
      <w:r w:rsidRPr="00E000C3" w:rsidR="00F632CB">
        <w:rPr>
          <w:b/>
        </w:rPr>
        <w:t>Lei nº 12.651/2012</w:t>
      </w:r>
      <w:r w:rsidR="00F632CB">
        <w:t xml:space="preserve">): (...) (b) Art. 3º, XVII, e </w:t>
      </w:r>
      <w:r w:rsidRPr="00F632CB" w:rsidR="00F632CB">
        <w:rPr>
          <w:b/>
        </w:rPr>
        <w:t>art. 4º, IV</w:t>
      </w:r>
      <w:r w:rsidR="00F632CB">
        <w:t xml:space="preserve"> (Exclusão das nascentes e dos olhos d’água intermitentes das áreas de preservação permanente): Interpretações diversas surgem da análise sistemática dos incisos I e IV do artigo 4º da Lei n. 12.651/2017. Embora o artigo 4º, inciso IV, apenas tenha protegido o entorno de nascentes e olhos d’água perenes, o art. 4º, inciso I, protege, como áreas de preservação permanente, “as faixas marginais de qualquer curso d’água natural perene e intermitente, excluídos os efêmeros” (grifo nosso). In casu, a polissemia abrange duas interpretações: a primeira inclui as nascentes e os olhos d’água intermitentes como </w:t>
      </w:r>
      <w:r w:rsidR="00F632CB">
        <w:t>APPs</w:t>
      </w:r>
      <w:r w:rsidR="00F632CB">
        <w:t xml:space="preserve">; a segunda os exclui. Assim, </w:t>
      </w:r>
      <w:r w:rsidRPr="00E000C3" w:rsidR="00F632CB">
        <w:rPr>
          <w:b/>
        </w:rPr>
        <w:t>cabe ao STF selecionar a interpretação que melhor maximize a eficácia das normas constitucionais</w:t>
      </w:r>
      <w:r w:rsidR="00F632CB">
        <w:t xml:space="preserve">. Considerando que o art. 225, §1º, da Constituição Federal, determina que </w:t>
      </w:r>
      <w:r w:rsidR="00F632CB">
        <w:t>incumbe</w:t>
      </w:r>
      <w:r w:rsidR="00F632CB">
        <w:t xml:space="preserve"> ao Poder Público “preservar e restaurar os processos ecológicos essenciais e promover o manejo ecológico das espécies e ecossistemas”, a interpretação mais protetiva deve ser selecionada. O Projeto de Lei n. 350/2015 (Autoria do Dep. Fed. Sarney Filho), em trâmite perante a Câmara Federal, prevê alteração nesse sentido no novo Código Florestal. A proteção das nascentes e olhos d’água é essencial para a existência dos cursos d’água que deles se originam, especialmente quanto aos rios intermitentes, muito</w:t>
      </w:r>
      <w:r>
        <w:t xml:space="preserve"> presentes em áreas de seca e de estiagem; </w:t>
      </w:r>
      <w:r w:rsidRPr="00E000C3">
        <w:rPr>
          <w:b/>
          <w:u w:val="single"/>
        </w:rPr>
        <w:t>CONCLUSÃO</w:t>
      </w:r>
      <w:r>
        <w:t xml:space="preserve">: interpretação conforme ao artigo 4º, inciso IV, da Lei n. 12.651/2017, com vistas a </w:t>
      </w:r>
      <w:r w:rsidRPr="00E000C3">
        <w:rPr>
          <w:b/>
        </w:rPr>
        <w:t>reconhecer que os entornos das nascentes e dos olhos d´água intermitentes configuram área de preservação permanente (APP);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44A5" w:rsidP="00A853E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4A5" w:rsidP="00A853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481801315" name="Imagem 1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34977932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1C49E1" w:rsidP="00A853E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1" name="Imagem 1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9818590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shape>
          </w:pict>
        </mc:Fallback>
      </mc:AlternateContent>
    </w:r>
  </w:p>
  <w:p w:rsidR="000144A5" w:rsidP="00A853E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0144A5" w:rsidP="00A853E6">
    <w:pPr>
      <w:pStyle w:val="Header"/>
      <w:jc w:val="center"/>
      <w:rPr>
        <w:b/>
        <w:sz w:val="28"/>
        <w:lang w:val="pt-PT"/>
      </w:rPr>
    </w:pPr>
  </w:p>
  <w:p w:rsidR="000144A5" w:rsidP="00A853E6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144A5"/>
    <w:rsid w:val="000269F1"/>
    <w:rsid w:val="00102512"/>
    <w:rsid w:val="001121D0"/>
    <w:rsid w:val="00184C16"/>
    <w:rsid w:val="00191BF5"/>
    <w:rsid w:val="001A7907"/>
    <w:rsid w:val="001C49E1"/>
    <w:rsid w:val="001E54DB"/>
    <w:rsid w:val="00233F3C"/>
    <w:rsid w:val="002E0FA3"/>
    <w:rsid w:val="00301D5F"/>
    <w:rsid w:val="00317378"/>
    <w:rsid w:val="00363138"/>
    <w:rsid w:val="003C269B"/>
    <w:rsid w:val="003D4466"/>
    <w:rsid w:val="0042348F"/>
    <w:rsid w:val="00444BC0"/>
    <w:rsid w:val="00482F52"/>
    <w:rsid w:val="00493021"/>
    <w:rsid w:val="005F4237"/>
    <w:rsid w:val="00646BC4"/>
    <w:rsid w:val="00654FE3"/>
    <w:rsid w:val="0069756F"/>
    <w:rsid w:val="006D0DE0"/>
    <w:rsid w:val="00717C0D"/>
    <w:rsid w:val="00721F99"/>
    <w:rsid w:val="00735751"/>
    <w:rsid w:val="00755425"/>
    <w:rsid w:val="007A22DF"/>
    <w:rsid w:val="007C35F0"/>
    <w:rsid w:val="007D2103"/>
    <w:rsid w:val="007E38B4"/>
    <w:rsid w:val="008A0037"/>
    <w:rsid w:val="008A2019"/>
    <w:rsid w:val="009663D4"/>
    <w:rsid w:val="00A76381"/>
    <w:rsid w:val="00A779B8"/>
    <w:rsid w:val="00A853E6"/>
    <w:rsid w:val="00B2260F"/>
    <w:rsid w:val="00B3376B"/>
    <w:rsid w:val="00B445C6"/>
    <w:rsid w:val="00BA2767"/>
    <w:rsid w:val="00BE027C"/>
    <w:rsid w:val="00BE2BC9"/>
    <w:rsid w:val="00C278F1"/>
    <w:rsid w:val="00C741FE"/>
    <w:rsid w:val="00C77A98"/>
    <w:rsid w:val="00CD5874"/>
    <w:rsid w:val="00D06E04"/>
    <w:rsid w:val="00D92B73"/>
    <w:rsid w:val="00DE4F3E"/>
    <w:rsid w:val="00E000C3"/>
    <w:rsid w:val="00E54730"/>
    <w:rsid w:val="00E80623"/>
    <w:rsid w:val="00E85CA4"/>
    <w:rsid w:val="00F07BBA"/>
    <w:rsid w:val="00F13E89"/>
    <w:rsid w:val="00F53BEF"/>
    <w:rsid w:val="00F631E3"/>
    <w:rsid w:val="00F632CB"/>
    <w:rsid w:val="00F66D55"/>
    <w:rsid w:val="00FD647C"/>
    <w:rsid w:val="00FF41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A7907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A7907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1A7907"/>
    <w:rPr>
      <w:vertAlign w:val="superscript"/>
    </w:rPr>
  </w:style>
  <w:style w:type="table" w:styleId="TableGrid">
    <w:name w:val="Table Grid"/>
    <w:basedOn w:val="TableNormal"/>
    <w:uiPriority w:val="59"/>
    <w:rsid w:val="003C2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7E65-DB26-4330-A973-E743433D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9</cp:revision>
  <dcterms:created xsi:type="dcterms:W3CDTF">2023-04-05T15:55:00Z</dcterms:created>
  <dcterms:modified xsi:type="dcterms:W3CDTF">2023-04-10T17:05:00Z</dcterms:modified>
</cp:coreProperties>
</file>