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127987" w:rsidP="00230290">
      <w:pPr>
        <w:pStyle w:val="Default"/>
        <w:jc w:val="both"/>
        <w:rPr>
          <w:rFonts w:ascii="Calibri" w:eastAsia="Times New Roman" w:hAnsi="Calibri" w:cs="Calibri"/>
          <w:b/>
          <w:bCs/>
          <w:color w:val="auto"/>
        </w:rPr>
      </w:pPr>
      <w:r w:rsidRPr="00127987">
        <w:rPr>
          <w:rFonts w:ascii="Calibri" w:hAnsi="Calibri" w:cs="Calibri"/>
          <w:b/>
          <w:color w:val="auto"/>
        </w:rPr>
        <w:t>Parecer Jurídico nº</w:t>
      </w:r>
      <w:r w:rsidRPr="00127987" w:rsidR="00DA5745">
        <w:rPr>
          <w:rFonts w:ascii="Calibri" w:hAnsi="Calibri" w:cs="Calibri"/>
          <w:b/>
          <w:color w:val="auto"/>
        </w:rPr>
        <w:t xml:space="preserve"> </w:t>
      </w:r>
      <w:r w:rsidRPr="00127987" w:rsidR="00127987">
        <w:rPr>
          <w:rFonts w:ascii="Calibri" w:hAnsi="Calibri" w:cs="Calibri"/>
          <w:b/>
          <w:color w:val="auto"/>
        </w:rPr>
        <w:t>107</w:t>
      </w:r>
      <w:r w:rsidRPr="00127987">
        <w:rPr>
          <w:rFonts w:ascii="Calibri" w:hAnsi="Calibri" w:cs="Calibri"/>
          <w:b/>
          <w:color w:val="auto"/>
        </w:rPr>
        <w:t>/202</w:t>
      </w:r>
      <w:r w:rsidRPr="00127987" w:rsidR="004253B9">
        <w:rPr>
          <w:rFonts w:ascii="Calibri" w:hAnsi="Calibri" w:cs="Calibri"/>
          <w:b/>
          <w:color w:val="auto"/>
        </w:rPr>
        <w:t>3</w:t>
      </w:r>
    </w:p>
    <w:p w:rsidR="00E957F5" w:rsidRPr="00E957F5" w:rsidP="00B6516B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  <w:r w:rsidRPr="000B4AF0">
        <w:rPr>
          <w:rFonts w:ascii="Calibri" w:hAnsi="Calibri" w:cs="Calibri"/>
          <w:b/>
          <w:bCs/>
          <w:szCs w:val="24"/>
        </w:rPr>
        <w:t>Assunto</w:t>
      </w:r>
      <w:r w:rsidRPr="00E957F5">
        <w:rPr>
          <w:rFonts w:ascii="Calibri" w:hAnsi="Calibri" w:cs="Calibri"/>
          <w:b/>
          <w:bCs/>
          <w:szCs w:val="24"/>
        </w:rPr>
        <w:t xml:space="preserve">: </w:t>
      </w:r>
      <w:r w:rsidRPr="00E957F5">
        <w:rPr>
          <w:rFonts w:ascii="Calibri" w:hAnsi="Calibri" w:cs="Calibri"/>
          <w:b/>
          <w:bCs/>
          <w:szCs w:val="24"/>
        </w:rPr>
        <w:t>Projeto de Lei nº 31</w:t>
      </w:r>
      <w:r w:rsidRPr="00E957F5">
        <w:rPr>
          <w:rFonts w:ascii="Calibri" w:hAnsi="Calibri" w:cs="Calibri"/>
          <w:b/>
          <w:bCs/>
          <w:szCs w:val="24"/>
        </w:rPr>
        <w:t>/202</w:t>
      </w:r>
      <w:r w:rsidRPr="00E957F5" w:rsidR="00D61860">
        <w:rPr>
          <w:rFonts w:ascii="Calibri" w:hAnsi="Calibri" w:cs="Calibri"/>
          <w:b/>
          <w:bCs/>
          <w:szCs w:val="24"/>
        </w:rPr>
        <w:t>3</w:t>
      </w:r>
      <w:r w:rsidRPr="00E957F5" w:rsidR="00DA5745">
        <w:rPr>
          <w:rFonts w:ascii="Calibri" w:hAnsi="Calibri" w:cs="Calibri"/>
          <w:bCs/>
          <w:szCs w:val="24"/>
        </w:rPr>
        <w:t xml:space="preserve"> </w:t>
      </w:r>
      <w:r w:rsidRPr="00E957F5" w:rsidR="00DF5B72">
        <w:rPr>
          <w:rFonts w:ascii="Calibri" w:hAnsi="Calibri" w:cs="Calibri"/>
          <w:bCs/>
          <w:szCs w:val="24"/>
        </w:rPr>
        <w:t>–</w:t>
      </w:r>
      <w:r w:rsidRPr="00E957F5" w:rsidR="00582000">
        <w:rPr>
          <w:rFonts w:ascii="Calibri" w:hAnsi="Calibri" w:cs="Calibri"/>
          <w:bCs/>
          <w:szCs w:val="24"/>
        </w:rPr>
        <w:t xml:space="preserve"> </w:t>
      </w:r>
      <w:r w:rsidRPr="00E957F5">
        <w:rPr>
          <w:rFonts w:ascii="Calibri" w:hAnsi="Calibri" w:cs="Calibri"/>
          <w:bCs/>
          <w:szCs w:val="24"/>
        </w:rPr>
        <w:t>Institui “Abril da Tulipa Vermelha - Mês de Conscientização da Doença de Parkinson”.</w:t>
      </w:r>
    </w:p>
    <w:p w:rsidR="00582000" w:rsidRPr="000B4AF0" w:rsidP="00B6516B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Autor</w:t>
      </w:r>
      <w:r w:rsidRPr="000B4AF0" w:rsidR="004253B9">
        <w:rPr>
          <w:rFonts w:ascii="Calibri" w:hAnsi="Calibri" w:cs="Calibri"/>
          <w:b/>
          <w:szCs w:val="24"/>
        </w:rPr>
        <w:t xml:space="preserve">: </w:t>
      </w:r>
      <w:r w:rsidRPr="000B4AF0" w:rsidR="004253B9">
        <w:rPr>
          <w:rFonts w:ascii="Calibri" w:hAnsi="Calibri" w:cs="Calibri"/>
          <w:szCs w:val="24"/>
        </w:rPr>
        <w:t>Vereador</w:t>
      </w:r>
      <w:r w:rsidR="00E957F5">
        <w:rPr>
          <w:rFonts w:ascii="Calibri" w:hAnsi="Calibri" w:cs="Calibri"/>
          <w:szCs w:val="24"/>
        </w:rPr>
        <w:t xml:space="preserve"> Alexandre Japa</w:t>
      </w:r>
      <w:r w:rsidRPr="000B4AF0" w:rsidR="004253B9">
        <w:rPr>
          <w:rFonts w:ascii="Calibri" w:hAnsi="Calibri" w:cs="Calibri"/>
          <w:szCs w:val="24"/>
        </w:rPr>
        <w:t>.</w:t>
      </w:r>
    </w:p>
    <w:p w:rsidR="006E1D73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6E1D73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B4AF0">
        <w:rPr>
          <w:rFonts w:ascii="Calibri" w:hAnsi="Calibri" w:cs="Calibri"/>
          <w:b/>
          <w:i/>
          <w:color w:val="auto"/>
        </w:rPr>
        <w:t>À Comissão de Justiça e Redação,</w:t>
      </w: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B4AF0">
        <w:rPr>
          <w:rFonts w:ascii="Calibri" w:hAnsi="Calibri" w:cs="Calibri"/>
          <w:b/>
          <w:i/>
          <w:color w:val="auto"/>
        </w:rPr>
        <w:t xml:space="preserve">Exmo. </w:t>
      </w:r>
      <w:r w:rsidRPr="000B4AF0" w:rsidR="00B14DD5">
        <w:rPr>
          <w:rFonts w:ascii="Calibri" w:hAnsi="Calibri" w:cs="Calibri"/>
          <w:b/>
          <w:i/>
          <w:color w:val="auto"/>
        </w:rPr>
        <w:t>Sr.</w:t>
      </w:r>
      <w:r w:rsidRPr="000B4AF0" w:rsidR="00B14DD5">
        <w:rPr>
          <w:rFonts w:ascii="Calibri" w:hAnsi="Calibri" w:cs="Calibri"/>
          <w:b/>
          <w:i/>
          <w:color w:val="auto"/>
        </w:rPr>
        <w:t xml:space="preserve"> Presidente </w:t>
      </w:r>
      <w:r w:rsidRPr="000B4AF0" w:rsidR="00A02FF7">
        <w:rPr>
          <w:rFonts w:ascii="Calibri" w:hAnsi="Calibri" w:cs="Calibri"/>
          <w:b/>
          <w:i/>
          <w:color w:val="auto"/>
        </w:rPr>
        <w:t>Vereador Gabriel Bueno</w:t>
      </w:r>
      <w:r w:rsidRPr="000B4AF0">
        <w:rPr>
          <w:rFonts w:ascii="Calibri" w:hAnsi="Calibri" w:cs="Calibri"/>
          <w:b/>
          <w:i/>
          <w:color w:val="auto"/>
        </w:rPr>
        <w:t>.</w:t>
      </w: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957F5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957F5" w:rsidRPr="00E957F5" w:rsidP="00E957F5">
      <w:pPr>
        <w:spacing w:after="240" w:line="360" w:lineRule="auto"/>
        <w:ind w:firstLine="1701"/>
        <w:jc w:val="both"/>
        <w:rPr>
          <w:rFonts w:ascii="Calibri" w:hAnsi="Calibri" w:cs="Calibri"/>
          <w:i/>
          <w:szCs w:val="24"/>
        </w:rPr>
      </w:pPr>
      <w:r w:rsidRPr="000B4AF0">
        <w:rPr>
          <w:rFonts w:ascii="Calibri" w:hAnsi="Calibri" w:cs="Calibri"/>
          <w:szCs w:val="24"/>
        </w:rPr>
        <w:t xml:space="preserve">Trata-se de parecer jurídico relativo ao projeto em epígrafe que </w:t>
      </w:r>
      <w:r>
        <w:rPr>
          <w:rFonts w:ascii="Calibri" w:hAnsi="Calibri" w:cs="Calibri"/>
          <w:szCs w:val="24"/>
        </w:rPr>
        <w:t>i</w:t>
      </w:r>
      <w:r w:rsidRPr="00E957F5">
        <w:rPr>
          <w:rFonts w:ascii="Calibri" w:hAnsi="Calibri" w:cs="Calibri"/>
          <w:szCs w:val="24"/>
        </w:rPr>
        <w:t>nstitui “</w:t>
      </w:r>
      <w:r w:rsidRPr="00E957F5">
        <w:rPr>
          <w:rFonts w:ascii="Calibri" w:hAnsi="Calibri" w:cs="Calibri"/>
          <w:i/>
          <w:szCs w:val="24"/>
        </w:rPr>
        <w:t>Abril da Tulipa Vermelha - Mês de Conscientização da Doença de Parkinson”.</w:t>
      </w:r>
    </w:p>
    <w:p w:rsidR="00230290" w:rsidRPr="000B4AF0" w:rsidP="003774B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i/>
          <w:szCs w:val="24"/>
        </w:rPr>
        <w:t>Ab initio</w:t>
      </w:r>
      <w:r w:rsidRPr="000B4AF0">
        <w:rPr>
          <w:rFonts w:ascii="Calibri" w:hAnsi="Calibri" w:cs="Calibri"/>
          <w:szCs w:val="24"/>
        </w:rPr>
        <w:t xml:space="preserve">, cumpre destacar a competência regimental da Comissão </w:t>
      </w:r>
      <w:r w:rsidRPr="000B4AF0" w:rsidR="00267046">
        <w:rPr>
          <w:rFonts w:ascii="Calibri" w:hAnsi="Calibri" w:cs="Calibri"/>
          <w:szCs w:val="24"/>
        </w:rPr>
        <w:t xml:space="preserve">de Justiça e Redação </w:t>
      </w:r>
      <w:r w:rsidRPr="000B4AF0">
        <w:rPr>
          <w:rFonts w:ascii="Calibri" w:hAnsi="Calibri" w:cs="Calibri"/>
          <w:szCs w:val="24"/>
        </w:rPr>
        <w:t>estabelecida no artigo 38.</w:t>
      </w:r>
    </w:p>
    <w:p w:rsidR="00230290" w:rsidRPr="000B4AF0" w:rsidP="0072713C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0B4AF0">
        <w:rPr>
          <w:rFonts w:ascii="Calibri" w:hAnsi="Calibri" w:cs="Calibri"/>
          <w:szCs w:val="24"/>
        </w:rPr>
        <w:t xml:space="preserve"> </w:t>
      </w:r>
      <w:r w:rsidRPr="000B4AF0">
        <w:rPr>
          <w:rFonts w:ascii="Calibri" w:hAnsi="Calibri" w:cs="Calibri"/>
          <w:szCs w:val="24"/>
        </w:rPr>
        <w:tab/>
      </w:r>
      <w:r w:rsidRPr="000B4AF0">
        <w:rPr>
          <w:rFonts w:ascii="Calibri" w:hAnsi="Calibri" w:cs="Calibri"/>
          <w:szCs w:val="24"/>
        </w:rPr>
        <w:t>Outrossim</w:t>
      </w:r>
      <w:r w:rsidRPr="000B4AF0">
        <w:rPr>
          <w:rFonts w:ascii="Calibri" w:hAnsi="Calibri" w:cs="Calibri"/>
          <w:szCs w:val="24"/>
        </w:rPr>
        <w:t xml:space="preserve">, ressalta-se que a opinião jurídica </w:t>
      </w:r>
      <w:r w:rsidRPr="000B4AF0" w:rsidR="00641AD2">
        <w:rPr>
          <w:rFonts w:ascii="Calibri" w:hAnsi="Calibri" w:cs="Calibri"/>
          <w:szCs w:val="24"/>
        </w:rPr>
        <w:t>exarada neste</w:t>
      </w:r>
      <w:r w:rsidRPr="000B4AF0">
        <w:rPr>
          <w:rFonts w:ascii="Calibri" w:hAnsi="Calibri" w:cs="Calibri"/>
          <w:szCs w:val="24"/>
        </w:rPr>
        <w:t xml:space="preserve"> parecer não tem força vinculante, portanto é peça opinativa, não fundamentando decisão </w:t>
      </w:r>
      <w:r w:rsidRPr="000B4AF0">
        <w:rPr>
          <w:rFonts w:ascii="Calibri" w:hAnsi="Calibri" w:cs="Calibri"/>
          <w:szCs w:val="24"/>
        </w:rPr>
        <w:t>proferida</w:t>
      </w:r>
      <w:r w:rsidRPr="000B4AF0">
        <w:rPr>
          <w:rFonts w:ascii="Calibri" w:hAnsi="Calibri" w:cs="Calibri"/>
          <w:szCs w:val="24"/>
        </w:rPr>
        <w:t xml:space="preserve"> pelas Comissões.</w:t>
      </w:r>
      <w:r w:rsidRPr="000B4AF0" w:rsidR="000C474F">
        <w:rPr>
          <w:rFonts w:ascii="Calibri" w:hAnsi="Calibri" w:cs="Calibri"/>
          <w:szCs w:val="24"/>
        </w:rPr>
        <w:t xml:space="preserve"> </w:t>
      </w:r>
      <w:r w:rsidRPr="000B4AF0">
        <w:rPr>
          <w:rFonts w:ascii="Calibri" w:hAnsi="Calibri" w:cs="Calibri"/>
        </w:rPr>
        <w:t xml:space="preserve">Nesse sentido é o entendimento </w:t>
      </w:r>
      <w:r w:rsidR="00E957F5">
        <w:rPr>
          <w:rFonts w:ascii="Calibri" w:hAnsi="Calibri" w:cs="Calibri"/>
        </w:rPr>
        <w:t>do C. Supremo Tribunal Federal</w:t>
      </w:r>
      <w:r>
        <w:rPr>
          <w:rStyle w:val="FootnoteReference"/>
          <w:rFonts w:ascii="Calibri" w:hAnsi="Calibri" w:cs="Calibri"/>
        </w:rPr>
        <w:footnoteReference w:id="2"/>
      </w:r>
      <w:r w:rsidR="00E957F5">
        <w:rPr>
          <w:rFonts w:ascii="Calibri" w:hAnsi="Calibri" w:cs="Calibri"/>
        </w:rPr>
        <w:t>.</w:t>
      </w:r>
    </w:p>
    <w:p w:rsidR="00230290" w:rsidRPr="000B4AF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 xml:space="preserve">Desse modo, passamos à </w:t>
      </w:r>
      <w:r w:rsidRPr="000B4AF0">
        <w:rPr>
          <w:rFonts w:ascii="Calibri" w:hAnsi="Calibri" w:cs="Calibri"/>
          <w:b/>
          <w:szCs w:val="24"/>
        </w:rPr>
        <w:t>análise técnica</w:t>
      </w:r>
      <w:r w:rsidRPr="000B4AF0">
        <w:rPr>
          <w:rFonts w:ascii="Calibri" w:hAnsi="Calibri" w:cs="Calibri"/>
          <w:szCs w:val="24"/>
        </w:rPr>
        <w:t xml:space="preserve"> do projeto em epígrafe referenciado.</w:t>
      </w:r>
    </w:p>
    <w:p w:rsidR="000C474F" w:rsidRPr="000B4AF0" w:rsidP="000C474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>No</w:t>
      </w:r>
      <w:r w:rsidRPr="000B4AF0">
        <w:rPr>
          <w:rFonts w:asciiTheme="minorHAnsi" w:hAnsiTheme="minorHAnsi" w:cstheme="minorHAnsi"/>
          <w:color w:val="auto"/>
        </w:rPr>
        <w:t xml:space="preserve"> que tange à </w:t>
      </w:r>
      <w:r w:rsidRPr="000B4AF0">
        <w:rPr>
          <w:rFonts w:asciiTheme="minorHAnsi" w:hAnsiTheme="minorHAnsi" w:cstheme="minorHAnsi"/>
          <w:b/>
          <w:color w:val="auto"/>
        </w:rPr>
        <w:t xml:space="preserve">competência </w:t>
      </w:r>
      <w:r w:rsidRPr="000B4AF0" w:rsidR="00CD2DAD">
        <w:rPr>
          <w:rFonts w:asciiTheme="minorHAnsi" w:hAnsiTheme="minorHAnsi" w:cstheme="minorHAnsi"/>
          <w:b/>
          <w:color w:val="auto"/>
        </w:rPr>
        <w:t>legislativa</w:t>
      </w:r>
      <w:r w:rsidRPr="000B4AF0" w:rsidR="00B14DD5">
        <w:rPr>
          <w:rFonts w:asciiTheme="minorHAnsi" w:hAnsiTheme="minorHAnsi" w:cstheme="minorHAnsi"/>
          <w:b/>
          <w:color w:val="auto"/>
        </w:rPr>
        <w:t xml:space="preserve"> municipal</w:t>
      </w:r>
      <w:r w:rsidRPr="000B4AF0" w:rsidR="00CD2DAD">
        <w:rPr>
          <w:rFonts w:asciiTheme="minorHAnsi" w:hAnsiTheme="minorHAnsi" w:cstheme="minorHAnsi"/>
          <w:color w:val="auto"/>
        </w:rPr>
        <w:t xml:space="preserve">, a propositura </w:t>
      </w:r>
      <w:r w:rsidRPr="000B4AF0">
        <w:rPr>
          <w:rFonts w:asciiTheme="minorHAnsi" w:hAnsiTheme="minorHAnsi" w:cstheme="minorHAnsi"/>
          <w:color w:val="auto"/>
        </w:rPr>
        <w:t>afigura-se r</w:t>
      </w:r>
      <w:r w:rsidRPr="000B4AF0">
        <w:rPr>
          <w:rFonts w:asciiTheme="minorHAnsi" w:hAnsiTheme="minorHAnsi" w:cstheme="minorHAnsi"/>
          <w:color w:val="auto"/>
        </w:rPr>
        <w:t>evestida de constitucionalidade</w:t>
      </w:r>
      <w:r w:rsidRPr="000B4AF0">
        <w:rPr>
          <w:rFonts w:asciiTheme="minorHAnsi" w:hAnsiTheme="minorHAnsi" w:cstheme="minorHAnsi"/>
          <w:color w:val="auto"/>
        </w:rPr>
        <w:t xml:space="preserve"> por força da Constituição</w:t>
      </w:r>
      <w:r w:rsidRPr="000B4AF0">
        <w:rPr>
          <w:rFonts w:asciiTheme="minorHAnsi" w:hAnsiTheme="minorHAnsi" w:cstheme="minorHAnsi"/>
          <w:color w:val="auto"/>
        </w:rPr>
        <w:t xml:space="preserve"> Federal que atribuiu aos</w:t>
      </w:r>
      <w:r w:rsidRPr="000B4AF0">
        <w:rPr>
          <w:rFonts w:asciiTheme="minorHAnsi" w:hAnsiTheme="minorHAnsi" w:cstheme="minorHAnsi"/>
          <w:color w:val="auto"/>
        </w:rPr>
        <w:t xml:space="preserve"> Municípios autonomia legislativa, consubstanciada na capacidade de legislar sobre assuntos de interesse local (art. 30, inciso I, da CRFB). </w:t>
      </w:r>
    </w:p>
    <w:p w:rsidR="005B347A" w:rsidRPr="000B4AF0" w:rsidP="005B347A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B4AF0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5B347A" w:rsidRPr="000B4AF0" w:rsidP="00451D9D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>“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legislar sobre tudo quanto respeite ao </w:t>
      </w:r>
      <w:r w:rsidRPr="000B4AF0">
        <w:rPr>
          <w:rFonts w:asciiTheme="minorHAnsi" w:hAnsiTheme="minorHAnsi" w:cstheme="minorHAnsi"/>
          <w:i/>
          <w:sz w:val="22"/>
          <w:szCs w:val="22"/>
          <w:u w:val="single"/>
        </w:rPr>
        <w:t>interesse local, tendo como objetivo o pleno desenvolvimento de suas funções sociais e garantir o bem-estar de seus habitantes,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 cabendo-lhe privativamente, entre outras, as seguintes atribuições:</w:t>
      </w:r>
      <w:r w:rsidRPr="000B4AF0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B4AF0" w:rsidP="00451D9D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>“</w:t>
      </w:r>
      <w:r w:rsidRPr="000B4AF0">
        <w:rPr>
          <w:rFonts w:asciiTheme="minorHAnsi" w:hAnsiTheme="minorHAnsi" w:cstheme="minorHAnsi"/>
          <w:i/>
          <w:sz w:val="22"/>
          <w:szCs w:val="22"/>
        </w:rPr>
        <w:t>Art.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5B347A" w:rsidRPr="000B4AF0" w:rsidP="00451D9D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  <w:r w:rsidRPr="000B4AF0" w:rsidR="00B73ABA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B4AF0" w:rsidP="005B3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B4AF0">
        <w:rPr>
          <w:rFonts w:asciiTheme="minorHAnsi" w:hAnsiTheme="minorHAnsi" w:cstheme="minorHAnsi"/>
          <w:szCs w:val="24"/>
        </w:rPr>
        <w:tab/>
      </w:r>
      <w:r w:rsidRPr="000B4AF0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5B347A" w:rsidRPr="000B4AF0" w:rsidP="00451D9D">
      <w:pPr>
        <w:autoSpaceDE w:val="0"/>
        <w:autoSpaceDN w:val="0"/>
        <w:adjustRightInd w:val="0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essa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privatividade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, essa unicidade, bem reduzido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0B4AF0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O que define e caracteriza o 'interesse local', inscrito como dogma constitucional, é a predominância </w:t>
      </w:r>
      <w:r w:rsidRPr="000B4AF0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do interesse do Município sobre o do Estado ou da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União". (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gn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)(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in Direito Municipal Brasileiro, 6ª ed., atualizada por Izabel Camargo Lopes Monteiro e Yara Darcy Police Monteiro, 1993, Malheiros, p. 98)</w:t>
      </w:r>
    </w:p>
    <w:p w:rsidR="00230290" w:rsidRPr="000B4AF0" w:rsidP="00DF5B72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  <w:r w:rsidRPr="000B4AF0">
        <w:rPr>
          <w:rFonts w:asciiTheme="minorHAnsi" w:hAnsiTheme="minorHAnsi" w:cstheme="minorHAnsi"/>
          <w:szCs w:val="24"/>
        </w:rPr>
        <w:t xml:space="preserve"> </w:t>
      </w:r>
      <w:r w:rsidRPr="000B4AF0">
        <w:rPr>
          <w:rFonts w:asciiTheme="minorHAnsi" w:hAnsiTheme="minorHAnsi" w:cstheme="minorHAnsi"/>
          <w:szCs w:val="24"/>
        </w:rPr>
        <w:tab/>
      </w:r>
      <w:r w:rsidRPr="000B4AF0">
        <w:rPr>
          <w:rFonts w:ascii="Calibri" w:hAnsi="Calibri" w:cs="Calibri"/>
          <w:szCs w:val="24"/>
        </w:rPr>
        <w:t>Outrossim</w:t>
      </w:r>
      <w:r w:rsidRPr="000B4AF0">
        <w:rPr>
          <w:rFonts w:ascii="Calibri" w:hAnsi="Calibri" w:cs="Calibri"/>
          <w:szCs w:val="24"/>
        </w:rPr>
        <w:t xml:space="preserve">, no que tange à </w:t>
      </w:r>
      <w:r w:rsidRPr="000B4AF0" w:rsidR="00A02EF7">
        <w:rPr>
          <w:rFonts w:ascii="Calibri" w:hAnsi="Calibri" w:cs="Calibri"/>
          <w:b/>
          <w:szCs w:val="24"/>
        </w:rPr>
        <w:t>iniciativa</w:t>
      </w:r>
      <w:r w:rsidRPr="000B4AF0">
        <w:rPr>
          <w:rFonts w:ascii="Calibri" w:hAnsi="Calibri" w:cs="Calibri"/>
          <w:b/>
          <w:szCs w:val="24"/>
        </w:rPr>
        <w:t xml:space="preserve"> para deflagrar o processo legislativo, </w:t>
      </w:r>
      <w:r w:rsidRPr="000B4AF0">
        <w:rPr>
          <w:rFonts w:ascii="Calibri" w:hAnsi="Calibri" w:cs="Calibri"/>
          <w:szCs w:val="24"/>
        </w:rPr>
        <w:t>o artigo 61, § 1º, da CF estabelece as hipóteses de iniciativa privativa: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Art. 61. A iniciativa das leis complementares e ordinárias cabe a qualquer membro ou Comissão da Câmara dos Deputados, do Senado Federal ou do Congresso Nacional, ao Presidente da República, ao Supremo Tribunal Federal, aos Tribunais Superiores, ao Procurador-Geral da República e aos cidadãos, na forma e nos casos previstos nesta Constituição.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§ 1º São de iniciativa privativa do Presidente da República as leis que: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I - fixem ou modifiquem os efetivos das Forças Armadas;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II - disponham sobre: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a) criação de cargos, funções ou empregos públicos na administração direta e autárquica ou aumento de sua remuneração;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b) organização administrativa e judiciária, matéria tributária e orçamentária, serviços </w:t>
      </w:r>
      <w:r w:rsidRPr="000B4AF0">
        <w:rPr>
          <w:rFonts w:ascii="Calibri" w:hAnsi="Calibri" w:cs="Calibri"/>
          <w:i/>
          <w:sz w:val="22"/>
          <w:szCs w:val="22"/>
        </w:rPr>
        <w:t>públicos e pessoal da administração dos Territórios</w:t>
      </w:r>
      <w:r w:rsidRPr="000B4AF0">
        <w:rPr>
          <w:rFonts w:ascii="Calibri" w:hAnsi="Calibri" w:cs="Calibri"/>
          <w:i/>
          <w:sz w:val="22"/>
          <w:szCs w:val="22"/>
        </w:rPr>
        <w:t>;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Style w:val="apple-converted-space"/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c) servidores públicos da União e Territórios, seu regime jurídico, provimento de cargos, estabilidade e aposentadoria;</w:t>
      </w:r>
      <w:r w:rsidRPr="000B4AF0">
        <w:rPr>
          <w:rStyle w:val="apple-converted-space"/>
          <w:rFonts w:ascii="Calibri" w:hAnsi="Calibri" w:cs="Calibri"/>
          <w:i/>
          <w:sz w:val="22"/>
          <w:szCs w:val="22"/>
        </w:rPr>
        <w:t> 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 d) organização do Ministério Público e da Defensoria Pública da União, bem como normas gerais para a organização do Ministério Público e da Defensoria Pública dos Estados, do Distrito Federal e dos Territórios;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Style w:val="apple-converted-space"/>
          <w:rFonts w:ascii="Calibri" w:hAnsi="Calibri" w:cs="Calibri"/>
          <w:i/>
          <w:iCs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e) criação e extinção de Ministérios e órgãos da administração pública, observado</w:t>
      </w:r>
      <w:r w:rsidRPr="000B4AF0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  <w:r w:rsidRPr="000B4AF0">
        <w:rPr>
          <w:rFonts w:ascii="Calibri" w:hAnsi="Calibri" w:cs="Calibri"/>
          <w:i/>
          <w:sz w:val="22"/>
          <w:szCs w:val="22"/>
        </w:rPr>
        <w:t xml:space="preserve">o disposto no art. 84, </w:t>
      </w:r>
      <w:r w:rsidRPr="000B4AF0">
        <w:rPr>
          <w:rFonts w:ascii="Calibri" w:hAnsi="Calibri" w:cs="Calibri"/>
          <w:i/>
          <w:sz w:val="22"/>
          <w:szCs w:val="22"/>
        </w:rPr>
        <w:t>VI</w:t>
      </w:r>
      <w:r w:rsidRPr="000B4AF0">
        <w:rPr>
          <w:rFonts w:ascii="Calibri" w:hAnsi="Calibri" w:cs="Calibri"/>
          <w:i/>
          <w:iCs/>
          <w:sz w:val="22"/>
          <w:szCs w:val="22"/>
        </w:rPr>
        <w:t>; </w:t>
      </w:r>
      <w:r w:rsidRPr="000B4AF0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</w:p>
    <w:p w:rsidR="00230290" w:rsidRPr="000B4AF0" w:rsidP="00451D9D">
      <w:pPr>
        <w:pStyle w:val="NormalWeb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 f) militares das Forças Armadas, seu regime jurídico, provimento de cargos, promoções, estabilidade, remuneração, reforma e transferência para a reserva.</w:t>
      </w:r>
      <w:r w:rsidRPr="000B4AF0">
        <w:rPr>
          <w:rStyle w:val="apple-converted-space"/>
          <w:rFonts w:ascii="Calibri" w:hAnsi="Calibri" w:cs="Calibri"/>
          <w:i/>
          <w:sz w:val="22"/>
          <w:szCs w:val="22"/>
        </w:rPr>
        <w:t> </w:t>
      </w:r>
      <w:r w:rsidRPr="000B4AF0">
        <w:rPr>
          <w:rFonts w:ascii="Calibri" w:hAnsi="Calibri" w:cs="Calibri"/>
          <w:i/>
          <w:sz w:val="22"/>
          <w:szCs w:val="22"/>
        </w:rPr>
        <w:t xml:space="preserve"> </w:t>
      </w:r>
    </w:p>
    <w:p w:rsidR="00230290" w:rsidRPr="000B4AF0" w:rsidP="00230290">
      <w:pPr>
        <w:pStyle w:val="NormalWeb"/>
        <w:spacing w:before="12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230290" w:rsidRPr="000B4AF0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Por seu turno e em atenção ao princípio da simetria, a Constituição do Estado de São Paulo no artigo 24, § 2º dispõe:</w:t>
      </w:r>
    </w:p>
    <w:p w:rsidR="00230290" w:rsidRPr="000B4AF0" w:rsidP="00B13A6C">
      <w:pPr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230290" w:rsidRPr="000B4AF0" w:rsidP="00B13A6C">
      <w:pPr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[...]</w:t>
      </w:r>
    </w:p>
    <w:p w:rsidR="00230290" w:rsidRPr="000B4AF0" w:rsidP="00B13A6C">
      <w:pPr>
        <w:pStyle w:val="paragrafo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230290" w:rsidRPr="000B4AF0" w:rsidP="00B13A6C">
      <w:pPr>
        <w:pStyle w:val="item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0B4AF0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230290" w:rsidRPr="000B4AF0" w:rsidP="00B13A6C">
      <w:pPr>
        <w:pStyle w:val="item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0B4AF0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230290" w:rsidRPr="000B4AF0" w:rsidP="00B13A6C">
      <w:pPr>
        <w:pStyle w:val="item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0B4AF0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230290" w:rsidRPr="000B4AF0" w:rsidP="00B13A6C">
      <w:pPr>
        <w:pStyle w:val="item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0B4AF0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230290" w:rsidRPr="000B4AF0" w:rsidP="00B13A6C">
      <w:pPr>
        <w:pStyle w:val="item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230290" w:rsidRPr="000B4AF0" w:rsidP="00B13A6C">
      <w:pPr>
        <w:pStyle w:val="item"/>
        <w:spacing w:before="0" w:beforeAutospacing="0" w:after="0" w:afterAutospacing="0" w:line="276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230290" w:rsidRPr="000B4AF0" w:rsidP="00230290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230290" w:rsidRPr="000B4AF0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Do mesmo modo, a Lei Orgânica do Município de Valinhos no artigo 48 estabelece as matérias de deflagração exclusiva pelo Prefeito Municipal:</w:t>
      </w:r>
    </w:p>
    <w:p w:rsidR="00230290" w:rsidRPr="000B4AF0" w:rsidP="00B13A6C">
      <w:pPr>
        <w:spacing w:after="4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230290" w:rsidRPr="000B4AF0" w:rsidP="00B13A6C">
      <w:pPr>
        <w:spacing w:after="4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230290" w:rsidRPr="000B4AF0" w:rsidP="00B13A6C">
      <w:pPr>
        <w:spacing w:after="4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230290" w:rsidRPr="000B4AF0" w:rsidP="00B13A6C">
      <w:pPr>
        <w:spacing w:after="4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B13A6C" w:rsidRPr="000B4AF0" w:rsidP="00B13A6C">
      <w:pPr>
        <w:spacing w:after="40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B13A6C" w:rsidRPr="000B4AF0" w:rsidP="00B13A6C">
      <w:pPr>
        <w:spacing w:after="40"/>
        <w:ind w:left="2835"/>
        <w:jc w:val="both"/>
        <w:rPr>
          <w:rFonts w:ascii="Calibri" w:hAnsi="Calibri" w:cs="Calibri"/>
          <w:i/>
          <w:sz w:val="22"/>
          <w:szCs w:val="22"/>
        </w:rPr>
      </w:pPr>
    </w:p>
    <w:p w:rsidR="003774B8" w:rsidRPr="000B4AF0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Dess</w:t>
      </w:r>
      <w:r w:rsidRPr="000B4AF0" w:rsidR="00230290">
        <w:rPr>
          <w:rFonts w:ascii="Calibri" w:hAnsi="Calibri" w:cs="Calibri"/>
          <w:szCs w:val="24"/>
        </w:rPr>
        <w:t xml:space="preserve">e modo, a princípio, no que tange à competência, a Constituição vigente não contém </w:t>
      </w:r>
      <w:r w:rsidRPr="000B4AF0" w:rsidR="00A02EF7">
        <w:rPr>
          <w:rFonts w:ascii="Calibri" w:hAnsi="Calibri" w:cs="Calibri"/>
          <w:szCs w:val="24"/>
        </w:rPr>
        <w:t>óbice ao</w:t>
      </w:r>
      <w:r w:rsidRPr="000B4AF0" w:rsidR="00230290">
        <w:rPr>
          <w:rFonts w:ascii="Calibri" w:hAnsi="Calibri" w:cs="Calibri"/>
          <w:szCs w:val="24"/>
        </w:rPr>
        <w:t xml:space="preserve"> Poder Legislativo </w:t>
      </w:r>
      <w:r w:rsidRPr="000B4AF0" w:rsidR="00A02EF7">
        <w:rPr>
          <w:rFonts w:ascii="Calibri" w:hAnsi="Calibri" w:cs="Calibri"/>
          <w:szCs w:val="24"/>
        </w:rPr>
        <w:t>para</w:t>
      </w:r>
      <w:r w:rsidRPr="000B4AF0" w:rsidR="00D13192">
        <w:rPr>
          <w:rFonts w:ascii="Calibri" w:hAnsi="Calibri" w:cs="Calibri"/>
          <w:szCs w:val="24"/>
        </w:rPr>
        <w:t xml:space="preserve"> </w:t>
      </w:r>
      <w:r w:rsidRPr="000B4AF0" w:rsidR="0007139A">
        <w:rPr>
          <w:rFonts w:ascii="Calibri" w:hAnsi="Calibri" w:cs="Calibri"/>
          <w:szCs w:val="24"/>
        </w:rPr>
        <w:t>legislar sobre a matéria.</w:t>
      </w:r>
    </w:p>
    <w:p w:rsidR="00230290" w:rsidRPr="000B4AF0" w:rsidP="00DF5B72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0B4AF0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0B4AF0">
        <w:rPr>
          <w:rFonts w:asciiTheme="minorHAnsi" w:hAnsiTheme="minorHAnsi" w:cs="Calibri"/>
          <w:b/>
        </w:rPr>
        <w:t xml:space="preserve"> </w:t>
      </w:r>
      <w:r w:rsidRPr="000B4AF0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</w:t>
      </w:r>
      <w:r w:rsidRPr="000B4AF0" w:rsidR="00DF5B72">
        <w:rPr>
          <w:rFonts w:asciiTheme="minorHAnsi" w:hAnsiTheme="minorHAnsi" w:cs="Calibri"/>
          <w:u w:val="single"/>
        </w:rPr>
        <w:t>derativa</w:t>
      </w:r>
      <w:r w:rsidRPr="000B4AF0" w:rsidR="00DF5B72">
        <w:rPr>
          <w:rFonts w:asciiTheme="minorHAnsi" w:hAnsiTheme="minorHAnsi" w:cs="Calibri"/>
        </w:rPr>
        <w:t>, t</w:t>
      </w:r>
      <w:r w:rsidRPr="000B4AF0">
        <w:rPr>
          <w:rFonts w:asciiTheme="minorHAnsi" w:hAnsiTheme="minorHAnsi" w:cs="Calibri"/>
        </w:rPr>
        <w:t xml:space="preserve">rata-se do </w:t>
      </w:r>
      <w:r w:rsidRPr="000B4AF0">
        <w:rPr>
          <w:rFonts w:asciiTheme="minorHAnsi" w:hAnsiTheme="minorHAnsi" w:cs="Calibri"/>
          <w:b/>
        </w:rPr>
        <w:t>Tema nº 917 Repercussão geral (Paradigma ARE 878911)</w:t>
      </w:r>
      <w:r w:rsidRPr="000B4AF0">
        <w:rPr>
          <w:rFonts w:asciiTheme="minorHAnsi" w:hAnsiTheme="minorHAnsi" w:cs="Calibri"/>
        </w:rPr>
        <w:t xml:space="preserve"> que recebeu a seguinte redação:</w:t>
      </w:r>
    </w:p>
    <w:p w:rsidR="00230290" w:rsidRPr="000B4AF0" w:rsidP="00B13A6C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230290" w:rsidRPr="000B4AF0" w:rsidP="00B13A6C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Corte. 5. Recurso extraordinário provido. (ARE 878911 RG, 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230290" w:rsidRPr="000B4AF0" w:rsidP="00230290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 xml:space="preserve">Assim, consoante entendimento da Suprema Corte (Tema nº917 Repercussão Geral) a iniciativa dos vereadores </w:t>
      </w:r>
      <w:r w:rsidRPr="000B4AF0">
        <w:rPr>
          <w:rFonts w:asciiTheme="minorHAnsi" w:hAnsiTheme="minorHAnsi" w:cstheme="minorHAnsi"/>
          <w:color w:val="auto"/>
        </w:rPr>
        <w:t>é</w:t>
      </w:r>
      <w:r w:rsidRPr="000B4AF0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A2A1B" w:rsidRPr="000B4AF0" w:rsidP="008A2A1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>Destarte, infere-se que o projeto em análise não viola as regras de iniciativa, porquanto não se trata de matéria de competência privativa do Chefe do Poder Executivo.</w:t>
      </w:r>
    </w:p>
    <w:p w:rsidR="00230290" w:rsidRPr="000B4AF0" w:rsidP="00230290">
      <w:pPr>
        <w:spacing w:before="240" w:after="240" w:line="360" w:lineRule="auto"/>
        <w:ind w:firstLine="1701"/>
        <w:jc w:val="both"/>
        <w:rPr>
          <w:rFonts w:ascii="Calibri" w:hAnsi="Calibri" w:cs="Calibri"/>
          <w:bCs/>
          <w:szCs w:val="24"/>
        </w:rPr>
      </w:pPr>
      <w:r w:rsidRPr="000B4AF0">
        <w:rPr>
          <w:rFonts w:ascii="Calibri" w:hAnsi="Calibri" w:cs="Calibri"/>
          <w:bCs/>
          <w:szCs w:val="24"/>
        </w:rPr>
        <w:t>Nesse mesmo sentido o entendimento do E. Tribunal de Justiça de São Paulo:</w:t>
      </w:r>
    </w:p>
    <w:p w:rsidR="000E3CF3" w:rsidRPr="00E957F5" w:rsidP="00E957F5">
      <w:pPr>
        <w:pStyle w:val="Default"/>
        <w:pBdr>
          <w:bottom w:val="single" w:sz="12" w:space="1" w:color="auto"/>
        </w:pBdr>
        <w:spacing w:line="276" w:lineRule="auto"/>
        <w:ind w:left="2835"/>
        <w:jc w:val="both"/>
        <w:rPr>
          <w:rFonts w:ascii="Calibri" w:hAnsi="Calibri" w:cs="Calibri"/>
          <w:i/>
          <w:color w:val="auto"/>
          <w:sz w:val="20"/>
          <w:szCs w:val="20"/>
          <w:shd w:val="clear" w:color="auto" w:fill="FFFFFF"/>
        </w:rPr>
      </w:pPr>
      <w:r w:rsidRPr="000B4AF0">
        <w:rPr>
          <w:rFonts w:ascii="Calibri" w:hAnsi="Calibri" w:cs="Calibri"/>
          <w:i/>
          <w:color w:val="auto"/>
          <w:sz w:val="22"/>
          <w:szCs w:val="22"/>
          <w:shd w:val="clear" w:color="auto" w:fill="FFFFFF"/>
        </w:rPr>
        <w:t xml:space="preserve">AÇÃO DIRETA DE INCONSTITUCIONALIDADE – Lei nº 5.507, de 15 de agosto de 2019, do Município de Mauá, que </w:t>
      </w:r>
      <w:r w:rsidRPr="000B4AF0">
        <w:rPr>
          <w:rFonts w:ascii="Calibri" w:hAnsi="Calibri" w:cs="Calibri"/>
          <w:i/>
          <w:color w:val="auto"/>
          <w:sz w:val="22"/>
          <w:szCs w:val="22"/>
          <w:u w:val="single"/>
          <w:shd w:val="clear" w:color="auto" w:fill="FFFFFF"/>
        </w:rPr>
        <w:t>"</w:t>
      </w:r>
      <w:r w:rsidRPr="000B4AF0">
        <w:rPr>
          <w:rFonts w:ascii="Calibri" w:hAnsi="Calibri" w:cs="Calibri"/>
          <w:b/>
          <w:i/>
          <w:color w:val="auto"/>
          <w:sz w:val="22"/>
          <w:szCs w:val="22"/>
          <w:u w:val="single"/>
          <w:shd w:val="clear" w:color="auto" w:fill="FFFFFF"/>
        </w:rPr>
        <w:t>institui a 'Semana Municipal de Conscientização e Prevenção à Anorexia Nervosa e Bulimia Nervosa'</w:t>
      </w:r>
      <w:r w:rsidRPr="000B4AF0">
        <w:rPr>
          <w:rFonts w:ascii="Calibri" w:hAnsi="Calibri" w:cs="Calibri"/>
          <w:i/>
          <w:color w:val="auto"/>
          <w:sz w:val="22"/>
          <w:szCs w:val="22"/>
          <w:u w:val="single"/>
          <w:shd w:val="clear" w:color="auto" w:fill="FFFFFF"/>
        </w:rPr>
        <w:t xml:space="preserve">, a qual passará a integrar o Calendário Oficial de Eventos do Município de Mauá, e dá outras providências" – </w:t>
      </w:r>
      <w:r w:rsidRPr="000B4AF0">
        <w:rPr>
          <w:rFonts w:ascii="Calibri" w:hAnsi="Calibri" w:cs="Calibri"/>
          <w:b/>
          <w:i/>
          <w:color w:val="auto"/>
          <w:sz w:val="22"/>
          <w:szCs w:val="22"/>
          <w:shd w:val="clear" w:color="auto" w:fill="FFFFFF"/>
        </w:rPr>
        <w:t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</w:t>
      </w:r>
      <w:r w:rsidRPr="000B4AF0">
        <w:rPr>
          <w:rFonts w:ascii="Calibri" w:hAnsi="Calibri" w:cs="Calibri"/>
          <w:i/>
          <w:color w:val="auto"/>
          <w:sz w:val="22"/>
          <w:szCs w:val="22"/>
          <w:shd w:val="clear" w:color="auto" w:fill="FFFFFF"/>
        </w:rPr>
        <w:t xml:space="preserve"> – Ausência de inconstitucionalidade. 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</w:t>
      </w:r>
      <w:r w:rsidRPr="000B4AF0">
        <w:rPr>
          <w:rFonts w:ascii="Calibri" w:hAnsi="Calibri" w:cs="Calibri"/>
          <w:i/>
          <w:color w:val="auto"/>
          <w:sz w:val="22"/>
          <w:szCs w:val="22"/>
          <w:shd w:val="clear" w:color="auto" w:fill="FFFFFF"/>
        </w:rPr>
        <w:t xml:space="preserve">exercício orçamentário em que aprovada, apenas – Inconstitucionalidade não configurada. </w:t>
      </w:r>
      <w:r w:rsidRPr="000B4AF0">
        <w:rPr>
          <w:rFonts w:ascii="Calibri" w:hAnsi="Calibri" w:cs="Calibri"/>
          <w:b/>
          <w:i/>
          <w:color w:val="auto"/>
          <w:sz w:val="22"/>
          <w:szCs w:val="22"/>
          <w:shd w:val="clear" w:color="auto" w:fill="FFFFFF"/>
        </w:rPr>
        <w:t>Ação julgada improcedente. </w:t>
      </w:r>
      <w:r w:rsidRPr="00E957F5" w:rsidR="00D23EDD">
        <w:rPr>
          <w:rFonts w:ascii="Calibri" w:hAnsi="Calibri" w:cs="Calibri"/>
          <w:i/>
          <w:color w:val="auto"/>
          <w:sz w:val="20"/>
          <w:szCs w:val="20"/>
          <w:shd w:val="clear" w:color="auto" w:fill="FFFFFF"/>
        </w:rPr>
        <w:t>(TJSP;</w:t>
      </w:r>
      <w:r w:rsidRPr="00E957F5" w:rsidR="00D23EDD">
        <w:rPr>
          <w:rFonts w:ascii="Calibri" w:hAnsi="Calibri" w:cs="Calibri"/>
          <w:i/>
          <w:color w:val="auto"/>
          <w:sz w:val="20"/>
          <w:szCs w:val="20"/>
          <w:shd w:val="clear" w:color="auto" w:fill="FFFFFF"/>
        </w:rPr>
        <w:t xml:space="preserve"> </w:t>
      </w:r>
      <w:r w:rsidRPr="00E957F5">
        <w:rPr>
          <w:rFonts w:ascii="Calibri" w:hAnsi="Calibri" w:cs="Calibri"/>
          <w:i/>
          <w:color w:val="auto"/>
          <w:sz w:val="20"/>
          <w:szCs w:val="20"/>
          <w:shd w:val="clear" w:color="auto" w:fill="FFFFFF"/>
        </w:rPr>
        <w:t> </w:t>
      </w:r>
      <w:r w:rsidRPr="00E957F5">
        <w:rPr>
          <w:rFonts w:ascii="Calibri" w:hAnsi="Calibri" w:cs="Calibri"/>
          <w:i/>
          <w:color w:val="auto"/>
          <w:sz w:val="20"/>
          <w:szCs w:val="20"/>
          <w:shd w:val="clear" w:color="auto" w:fill="FFFFFF"/>
        </w:rPr>
        <w:t xml:space="preserve">Direta de Inconstitucionalidade 2103255-42.2020.8.26.0000; Relator (a): João Carlos </w:t>
      </w:r>
      <w:r w:rsidRPr="00E957F5">
        <w:rPr>
          <w:rFonts w:ascii="Calibri" w:hAnsi="Calibri" w:cs="Calibri"/>
          <w:i/>
          <w:color w:val="auto"/>
          <w:sz w:val="20"/>
          <w:szCs w:val="20"/>
          <w:shd w:val="clear" w:color="auto" w:fill="FFFFFF"/>
        </w:rPr>
        <w:t>Saletti</w:t>
      </w:r>
      <w:r w:rsidRPr="00E957F5">
        <w:rPr>
          <w:rFonts w:ascii="Calibri" w:hAnsi="Calibri" w:cs="Calibri"/>
          <w:i/>
          <w:color w:val="auto"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0E3CF3" w:rsidRPr="000B4AF0" w:rsidP="00E957F5">
      <w:pPr>
        <w:pStyle w:val="Default"/>
        <w:spacing w:line="360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</w:pPr>
    </w:p>
    <w:p w:rsidR="00564577" w:rsidRPr="00E957F5" w:rsidP="00E957F5">
      <w:pPr>
        <w:pStyle w:val="Default"/>
        <w:spacing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</w:pPr>
      <w:r w:rsidRPr="000B4AF0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  <w:shd w:val="clear" w:color="auto" w:fill="FFFFFF"/>
        </w:rPr>
        <w:t>'Institui, no calendário oficial de eventos do município, a 'Festa do Pentecostes'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  <w:u w:val="single"/>
          <w:shd w:val="clear" w:color="auto" w:fill="FFFFFF"/>
        </w:rPr>
        <w:t xml:space="preserve">, que se 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  <w:u w:val="single"/>
          <w:shd w:val="clear" w:color="auto" w:fill="FFFFFF"/>
        </w:rPr>
        <w:t>realizará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 I – Usurpação de competência. Inocorrência.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  <w:shd w:val="clear" w:color="auto" w:fill="FFFFFF"/>
        </w:rPr>
        <w:t>Norma que institui data comemorativa no calendário oficial do município. Inexistência de conflito entre o Poder Legislativo e o Poder Executivo, no âmbito do Município de Mauá. Lei que não veicula atos de gestão. Competência legislativa comum. Tema de Repercussão Geral nº 917.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inexequibilidade da norma no mesmo exercício em que foi promulgada. IV – Fixação de prazo para que o Poder Executivo regulamentar lei. Violação do princípio da separação dos poderes. Direção superior da Administração. Ato da reserva da Administração. Atuação administrativa amparada por critérios de conveniência e oportunidade. Inconstitucionalidade da expressão 'no prazo de 90 (noventa) dias a contar da data de sua publicação' prevista no art. 3º da Lei nº 4.771, de 23-4-2012, de Mauá, e incidental da expressão 'no prazo nelas estabelecido, não inferior a trinta nem superior a cento e oitenta dias' constante do inciso III do art. 47 da CE/89. Ação procedente em parte." </w:t>
      </w:r>
      <w:r w:rsidRPr="00E957F5">
        <w:rPr>
          <w:rFonts w:asciiTheme="minorHAnsi" w:hAnsiTheme="minorHAnsi" w:cstheme="minorHAnsi"/>
          <w:i/>
          <w:color w:val="auto"/>
          <w:sz w:val="20"/>
          <w:szCs w:val="20"/>
          <w:shd w:val="clear" w:color="auto" w:fill="FFFFFF"/>
        </w:rPr>
        <w:t>(TJSP;  Direta de Inconstitucionalidade 2097432-24.2019.8.26.0000; Relator (a): Carlos Bueno; Órgão Julgador: Órgão Especial; Tribunal de Justiça de São Paulo - N/A; Data do Julgamento: 21/08/2019; Data de Registro: 23/08/2019)</w:t>
      </w:r>
    </w:p>
    <w:p w:rsidR="00D23EDD" w:rsidRPr="00E957F5" w:rsidP="00D23EDD">
      <w:pPr>
        <w:spacing w:after="120"/>
        <w:jc w:val="both"/>
        <w:rPr>
          <w:rFonts w:ascii="Calibri" w:hAnsi="Calibri" w:cs="Calibri"/>
          <w:i/>
          <w:sz w:val="20"/>
        </w:rPr>
      </w:pPr>
    </w:p>
    <w:p w:rsidR="00466DFA" w:rsidRPr="00892795" w:rsidP="00466DFA">
      <w:pPr>
        <w:spacing w:after="120" w:line="360" w:lineRule="auto"/>
        <w:ind w:firstLine="1701"/>
        <w:jc w:val="both"/>
        <w:rPr>
          <w:rFonts w:ascii="Calibri" w:hAnsi="Calibri" w:cs="Calibri"/>
          <w:i/>
        </w:rPr>
      </w:pPr>
      <w:r w:rsidRPr="000B4AF0">
        <w:rPr>
          <w:rFonts w:ascii="Calibri" w:hAnsi="Calibri" w:cs="Calibri"/>
        </w:rPr>
        <w:t xml:space="preserve">Por fim, </w:t>
      </w:r>
      <w:r w:rsidR="00E957F5">
        <w:rPr>
          <w:rFonts w:ascii="Calibri" w:hAnsi="Calibri" w:cs="Calibri"/>
        </w:rPr>
        <w:t xml:space="preserve">no concernente ao aspecto </w:t>
      </w:r>
      <w:r>
        <w:rPr>
          <w:rFonts w:ascii="Calibri" w:hAnsi="Calibri" w:cs="Calibri"/>
        </w:rPr>
        <w:t xml:space="preserve">gramatical e lógico, em atenção </w:t>
      </w:r>
      <w:r w:rsidRPr="000B4AF0" w:rsidR="00187A4F">
        <w:rPr>
          <w:rFonts w:ascii="Calibri" w:hAnsi="Calibri" w:cs="Calibri"/>
        </w:rPr>
        <w:t>à</w:t>
      </w:r>
      <w:r w:rsidRPr="000B4AF0" w:rsidR="009B0A6D">
        <w:rPr>
          <w:rFonts w:ascii="Calibri" w:hAnsi="Calibri" w:cs="Calibri"/>
        </w:rPr>
        <w:t xml:space="preserve"> </w:t>
      </w:r>
      <w:r w:rsidRPr="000B4AF0">
        <w:rPr>
          <w:rFonts w:ascii="Calibri" w:hAnsi="Calibri" w:cs="Calibri"/>
        </w:rPr>
        <w:t>Lei Complementar nº 95/98</w:t>
      </w:r>
      <w:r>
        <w:rPr>
          <w:rFonts w:ascii="Calibri" w:hAnsi="Calibri" w:cs="Calibri"/>
        </w:rPr>
        <w:t>,</w:t>
      </w:r>
      <w:r w:rsidRPr="000B4AF0">
        <w:rPr>
          <w:rFonts w:ascii="Calibri" w:hAnsi="Calibri" w:cs="Calibri"/>
        </w:rPr>
        <w:t xml:space="preserve"> q</w:t>
      </w:r>
      <w:r w:rsidRPr="000B4AF0" w:rsidR="00055FB2">
        <w:rPr>
          <w:rFonts w:ascii="Calibri" w:hAnsi="Calibri" w:cs="Calibri"/>
        </w:rPr>
        <w:t>ue dispõe sobre a elaboração, redação, alteração e</w:t>
      </w:r>
      <w:r w:rsidRPr="000B4AF0" w:rsidR="009D75A2">
        <w:rPr>
          <w:rFonts w:ascii="Calibri" w:hAnsi="Calibri" w:cs="Calibri"/>
        </w:rPr>
        <w:t xml:space="preserve"> consolidação das leis</w:t>
      </w:r>
      <w:r w:rsidR="00127987">
        <w:rPr>
          <w:rFonts w:ascii="Calibri" w:hAnsi="Calibri" w:cs="Calibri"/>
        </w:rPr>
        <w:t>, precipuamente art. 7º</w:t>
      </w:r>
      <w:r>
        <w:rPr>
          <w:rStyle w:val="FootnoteReference"/>
          <w:rFonts w:ascii="Calibri" w:hAnsi="Calibri" w:cs="Calibri"/>
        </w:rPr>
        <w:footnoteReference w:id="3"/>
      </w:r>
      <w:r>
        <w:rPr>
          <w:rFonts w:ascii="Calibri" w:hAnsi="Calibri" w:cs="Calibri"/>
        </w:rPr>
        <w:t xml:space="preserve">, sugerimos, </w:t>
      </w:r>
      <w:r>
        <w:rPr>
          <w:rFonts w:ascii="Calibri" w:hAnsi="Calibri" w:cs="Calibri"/>
          <w:i/>
        </w:rPr>
        <w:t>data máxima vênia,</w:t>
      </w:r>
      <w:r>
        <w:rPr>
          <w:rFonts w:ascii="Calibri" w:hAnsi="Calibri" w:cs="Calibri"/>
        </w:rPr>
        <w:t xml:space="preserve"> </w:t>
      </w:r>
      <w:r w:rsidRPr="00466DFA">
        <w:rPr>
          <w:rFonts w:ascii="Calibri" w:hAnsi="Calibri" w:cs="Calibri"/>
          <w:u w:val="single"/>
        </w:rPr>
        <w:t>alteração do art. 1º do projeto</w:t>
      </w:r>
      <w:r>
        <w:rPr>
          <w:rFonts w:ascii="Calibri" w:hAnsi="Calibri" w:cs="Calibri"/>
          <w:u w:val="single"/>
        </w:rPr>
        <w:t>,</w:t>
      </w:r>
      <w:r>
        <w:rPr>
          <w:rFonts w:ascii="Calibri" w:hAnsi="Calibri" w:cs="Calibri"/>
        </w:rPr>
        <w:t xml:space="preserve"> a fim deixa claro seu objeto e âmbito de aplicação, porquanto depreende-se que </w:t>
      </w:r>
      <w:r w:rsidR="00127987">
        <w:rPr>
          <w:rFonts w:ascii="Calibri" w:hAnsi="Calibri" w:cs="Calibri"/>
        </w:rPr>
        <w:t>a proposição</w:t>
      </w:r>
      <w:r>
        <w:rPr>
          <w:rFonts w:ascii="Calibri" w:hAnsi="Calibri" w:cs="Calibri"/>
        </w:rPr>
        <w:t xml:space="preserve"> trata da instituição de mês destinado à conscientização sobre a Doença de Parkinson, entretanto, o referido dispositivo institui </w:t>
      </w:r>
      <w:r w:rsidR="00892795">
        <w:rPr>
          <w:rFonts w:ascii="Calibri" w:hAnsi="Calibri" w:cs="Calibri"/>
        </w:rPr>
        <w:t>“</w:t>
      </w:r>
      <w:r w:rsidRPr="00892795">
        <w:rPr>
          <w:rFonts w:ascii="Calibri" w:hAnsi="Calibri" w:cs="Calibri"/>
          <w:i/>
        </w:rPr>
        <w:t>mês destinado à divulgação, tratamento e promoção do bem estar e qualidade de vida</w:t>
      </w:r>
      <w:r w:rsidRPr="00892795" w:rsidR="00892795">
        <w:rPr>
          <w:rFonts w:ascii="Calibri" w:hAnsi="Calibri" w:cs="Calibri"/>
          <w:i/>
        </w:rPr>
        <w:t>”</w:t>
      </w:r>
      <w:r w:rsidRPr="00892795">
        <w:rPr>
          <w:rFonts w:ascii="Calibri" w:hAnsi="Calibri" w:cs="Calibri"/>
          <w:i/>
        </w:rPr>
        <w:t xml:space="preserve">.  </w:t>
      </w:r>
    </w:p>
    <w:p w:rsidR="00230290" w:rsidRPr="000B4AF0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0B4AF0">
        <w:rPr>
          <w:rFonts w:ascii="Calibri" w:eastAsia="Calibri" w:hAnsi="Calibri" w:cs="Calibri"/>
          <w:szCs w:val="24"/>
        </w:rPr>
        <w:t xml:space="preserve">Ante todo o exposto, </w:t>
      </w:r>
      <w:r w:rsidRPr="000B4AF0" w:rsidR="00A53F3E">
        <w:rPr>
          <w:rFonts w:ascii="Calibri" w:eastAsia="Calibri" w:hAnsi="Calibri" w:cs="Calibri"/>
          <w:szCs w:val="24"/>
        </w:rPr>
        <w:t>opinamos pela</w:t>
      </w:r>
      <w:r w:rsidRPr="000B4AF0">
        <w:rPr>
          <w:rFonts w:ascii="Calibri" w:eastAsia="Calibri" w:hAnsi="Calibri" w:cs="Calibri"/>
          <w:szCs w:val="24"/>
        </w:rPr>
        <w:t xml:space="preserve"> constituc</w:t>
      </w:r>
      <w:bookmarkStart w:id="4" w:name="_GoBack"/>
      <w:bookmarkEnd w:id="4"/>
      <w:r w:rsidRPr="000B4AF0">
        <w:rPr>
          <w:rFonts w:ascii="Calibri" w:eastAsia="Calibri" w:hAnsi="Calibri" w:cs="Calibri"/>
          <w:szCs w:val="24"/>
        </w:rPr>
        <w:t>ionalidade e legalidade</w:t>
      </w:r>
      <w:r w:rsidRPr="000B4AF0" w:rsidR="008A2A1B">
        <w:rPr>
          <w:rFonts w:ascii="Calibri" w:eastAsia="Calibri" w:hAnsi="Calibri" w:cs="Calibri"/>
          <w:szCs w:val="24"/>
        </w:rPr>
        <w:t xml:space="preserve"> do projeto</w:t>
      </w:r>
      <w:r w:rsidR="00E957F5">
        <w:rPr>
          <w:rFonts w:ascii="Calibri" w:eastAsia="Calibri" w:hAnsi="Calibri" w:cs="Calibri"/>
          <w:szCs w:val="24"/>
        </w:rPr>
        <w:t>,</w:t>
      </w:r>
      <w:r w:rsidRPr="00E957F5" w:rsidR="00E957F5">
        <w:rPr>
          <w:rFonts w:ascii="Calibri" w:eastAsia="Calibri" w:hAnsi="Calibri" w:cs="Calibri"/>
          <w:szCs w:val="24"/>
          <w:u w:val="single"/>
        </w:rPr>
        <w:t xml:space="preserve"> </w:t>
      </w:r>
      <w:r w:rsidRPr="000B4AF0" w:rsidR="00E957F5">
        <w:rPr>
          <w:rFonts w:ascii="Calibri" w:eastAsia="Calibri" w:hAnsi="Calibri" w:cs="Calibri"/>
          <w:szCs w:val="24"/>
          <w:u w:val="single"/>
        </w:rPr>
        <w:t>ressalvada observação acima</w:t>
      </w:r>
      <w:r w:rsidR="00E957F5">
        <w:rPr>
          <w:rFonts w:ascii="Calibri" w:eastAsia="Calibri" w:hAnsi="Calibri" w:cs="Calibri"/>
          <w:szCs w:val="24"/>
          <w:u w:val="single"/>
        </w:rPr>
        <w:t xml:space="preserve"> quanto ao </w:t>
      </w:r>
      <w:r w:rsidR="00E957F5">
        <w:rPr>
          <w:rFonts w:ascii="Calibri" w:eastAsia="Calibri" w:hAnsi="Calibri" w:cs="Calibri"/>
          <w:i/>
          <w:szCs w:val="24"/>
          <w:u w:val="single"/>
        </w:rPr>
        <w:t>caput</w:t>
      </w:r>
      <w:r w:rsidRPr="000B4AF0" w:rsidR="00E957F5">
        <w:rPr>
          <w:rFonts w:ascii="Calibri" w:eastAsia="Calibri" w:hAnsi="Calibri" w:cs="Calibri"/>
          <w:szCs w:val="24"/>
          <w:u w:val="single"/>
        </w:rPr>
        <w:t xml:space="preserve"> do art. </w:t>
      </w:r>
      <w:r w:rsidR="00E957F5">
        <w:rPr>
          <w:rFonts w:ascii="Calibri" w:eastAsia="Calibri" w:hAnsi="Calibri" w:cs="Calibri"/>
          <w:szCs w:val="24"/>
          <w:u w:val="single"/>
        </w:rPr>
        <w:t>1</w:t>
      </w:r>
      <w:r w:rsidRPr="000B4AF0" w:rsidR="00E957F5">
        <w:rPr>
          <w:rFonts w:ascii="Calibri" w:eastAsia="Calibri" w:hAnsi="Calibri" w:cs="Calibri"/>
          <w:szCs w:val="24"/>
          <w:u w:val="single"/>
        </w:rPr>
        <w:t>º</w:t>
      </w:r>
      <w:r w:rsidRPr="000B4AF0" w:rsidR="00A039F0">
        <w:rPr>
          <w:rFonts w:ascii="Calibri" w:eastAsia="Calibri" w:hAnsi="Calibri" w:cs="Calibri"/>
          <w:szCs w:val="24"/>
        </w:rPr>
        <w:t xml:space="preserve">. </w:t>
      </w:r>
      <w:r w:rsidRPr="000B4AF0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230290" w:rsidRPr="000B4AF0" w:rsidP="00230290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É o parecer, a superior consideração.</w:t>
      </w:r>
    </w:p>
    <w:p w:rsidR="00230290" w:rsidRPr="007E675B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7E675B">
        <w:rPr>
          <w:rFonts w:ascii="Calibri" w:hAnsi="Calibri" w:cs="Calibri"/>
          <w:szCs w:val="24"/>
        </w:rPr>
        <w:t>Procuradoria,</w:t>
      </w:r>
      <w:r w:rsidRPr="007E675B" w:rsidR="00395D8C">
        <w:rPr>
          <w:rFonts w:ascii="Calibri" w:hAnsi="Calibri" w:cs="Calibri"/>
          <w:szCs w:val="24"/>
        </w:rPr>
        <w:t xml:space="preserve"> </w:t>
      </w:r>
      <w:r w:rsidRPr="007E675B" w:rsidR="007E675B">
        <w:rPr>
          <w:rFonts w:ascii="Calibri" w:hAnsi="Calibri" w:cs="Calibri"/>
          <w:szCs w:val="24"/>
        </w:rPr>
        <w:t>23</w:t>
      </w:r>
      <w:r w:rsidRPr="007E675B" w:rsidR="004253B9">
        <w:rPr>
          <w:rFonts w:ascii="Calibri" w:hAnsi="Calibri" w:cs="Calibri"/>
          <w:szCs w:val="24"/>
        </w:rPr>
        <w:t xml:space="preserve"> de </w:t>
      </w:r>
      <w:r w:rsidRPr="007E675B" w:rsidR="00E957F5">
        <w:rPr>
          <w:rFonts w:ascii="Calibri" w:hAnsi="Calibri" w:cs="Calibri"/>
          <w:szCs w:val="24"/>
        </w:rPr>
        <w:t>março</w:t>
      </w:r>
      <w:r w:rsidRPr="007E675B">
        <w:rPr>
          <w:rFonts w:ascii="Calibri" w:hAnsi="Calibri" w:cs="Calibri"/>
          <w:szCs w:val="24"/>
        </w:rPr>
        <w:t xml:space="preserve"> de 202</w:t>
      </w:r>
      <w:r w:rsidRPr="007E675B" w:rsidR="004253B9">
        <w:rPr>
          <w:rFonts w:ascii="Calibri" w:hAnsi="Calibri" w:cs="Calibri"/>
          <w:szCs w:val="24"/>
        </w:rPr>
        <w:t>3</w:t>
      </w:r>
      <w:r w:rsidRPr="007E675B">
        <w:rPr>
          <w:rFonts w:ascii="Calibri" w:hAnsi="Calibri" w:cs="Calibri"/>
          <w:szCs w:val="24"/>
        </w:rPr>
        <w:t>.</w:t>
      </w:r>
    </w:p>
    <w:p w:rsidR="007E675B" w:rsidRPr="00E957F5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b/>
          <w:color w:val="FF0000"/>
          <w:szCs w:val="24"/>
        </w:rPr>
      </w:pPr>
    </w:p>
    <w:p w:rsidR="00B14DD5" w:rsidRPr="000B4AF0" w:rsidP="00892795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B4AF0">
        <w:rPr>
          <w:rFonts w:asciiTheme="minorHAnsi" w:hAnsiTheme="minorHAnsi" w:cstheme="minorHAnsi"/>
          <w:b/>
          <w:szCs w:val="24"/>
        </w:rPr>
        <w:t>Rosemeire de Souza Cardoso Barbosa</w:t>
      </w:r>
    </w:p>
    <w:p w:rsidR="00B14DD5" w:rsidRPr="000B4AF0" w:rsidP="00892795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B4AF0">
        <w:rPr>
          <w:rFonts w:asciiTheme="minorHAnsi" w:hAnsiTheme="minorHAnsi" w:cstheme="minorHAnsi"/>
          <w:b/>
          <w:szCs w:val="24"/>
        </w:rPr>
        <w:t>Procuradora - OAB/SP 308.298</w:t>
      </w:r>
    </w:p>
    <w:p w:rsidR="00B14DD5" w:rsidRPr="000B4AF0" w:rsidP="00892795">
      <w:pPr>
        <w:pStyle w:val="BodyText"/>
        <w:spacing w:after="0" w:line="240" w:lineRule="auto"/>
        <w:jc w:val="center"/>
      </w:pPr>
      <w:r w:rsidRPr="000B4AF0">
        <w:rPr>
          <w:rFonts w:asciiTheme="minorHAnsi" w:hAnsiTheme="minorHAnsi" w:cstheme="minorHAnsi"/>
          <w:szCs w:val="24"/>
        </w:rPr>
        <w:t>Assinado digitalmente</w:t>
      </w:r>
    </w:p>
    <w:sectPr w:rsidSect="00E957F5">
      <w:headerReference w:type="default" r:id="rId6"/>
      <w:footerReference w:type="default" r:id="rId7"/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466DFA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466DFA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466DFA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66DFA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466DFA" w:rsidP="000F6284">
            <w:pPr>
              <w:pStyle w:val="Footer"/>
              <w:ind w:left="-1985" w:right="-313"/>
              <w:jc w:val="center"/>
            </w:pPr>
          </w:p>
          <w:p w:rsidR="00466DFA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E675B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E675B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66DFA">
      <w:pPr>
        <w:spacing w:after="0" w:line="240" w:lineRule="auto"/>
      </w:pPr>
      <w:r>
        <w:separator/>
      </w:r>
    </w:p>
  </w:footnote>
  <w:footnote w:type="continuationSeparator" w:id="1">
    <w:p w:rsidR="00466DFA">
      <w:pPr>
        <w:spacing w:after="0" w:line="240" w:lineRule="auto"/>
      </w:pPr>
      <w:r>
        <w:continuationSeparator/>
      </w:r>
    </w:p>
  </w:footnote>
  <w:footnote w:id="2">
    <w:p w:rsidR="00466DFA" w:rsidRPr="000B4AF0" w:rsidP="00E957F5">
      <w:pPr>
        <w:pStyle w:val="Default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>ex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>oficio</w:t>
      </w:r>
      <w:r w:rsidRPr="000B4AF0">
        <w:rPr>
          <w:rFonts w:ascii="Calibri" w:hAnsi="Calibri" w:cs="Calibr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466DFA">
      <w:pPr>
        <w:pStyle w:val="FootnoteText"/>
      </w:pPr>
    </w:p>
  </w:footnote>
  <w:footnote w:id="3">
    <w:p w:rsidR="00127987" w:rsidRPr="00466DFA" w:rsidP="00127987">
      <w:pPr>
        <w:spacing w:after="120" w:line="240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127987">
        <w:rPr>
          <w:rFonts w:ascii="Calibri" w:hAnsi="Calibri" w:cs="Calibri"/>
          <w:b/>
          <w:i/>
          <w:color w:val="000000"/>
          <w:sz w:val="22"/>
          <w:szCs w:val="22"/>
        </w:rPr>
        <w:t>Lei complementar 95/98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“</w:t>
      </w:r>
      <w:r w:rsidRPr="00466DFA">
        <w:rPr>
          <w:rFonts w:ascii="Calibri" w:hAnsi="Calibri" w:cs="Calibri"/>
          <w:b/>
          <w:i/>
          <w:color w:val="000000"/>
          <w:sz w:val="22"/>
          <w:szCs w:val="22"/>
        </w:rPr>
        <w:t>Art. 7</w:t>
      </w:r>
      <w:r w:rsidRPr="00466DFA">
        <w:rPr>
          <w:rFonts w:ascii="Calibri" w:hAnsi="Calibri" w:cs="Calibri"/>
          <w:b/>
          <w:bCs/>
          <w:i/>
          <w:color w:val="000000"/>
          <w:sz w:val="22"/>
          <w:szCs w:val="22"/>
          <w:u w:val="single"/>
          <w:vertAlign w:val="superscript"/>
        </w:rPr>
        <w:t>o</w:t>
      </w:r>
      <w:r w:rsidRPr="00466DFA">
        <w:rPr>
          <w:rFonts w:ascii="Calibri" w:hAnsi="Calibri" w:cs="Calibri"/>
          <w:i/>
          <w:color w:val="000000"/>
          <w:sz w:val="22"/>
          <w:szCs w:val="22"/>
        </w:rPr>
        <w:t> </w:t>
      </w:r>
      <w:r w:rsidRPr="00466DFA">
        <w:rPr>
          <w:rFonts w:ascii="Calibri" w:hAnsi="Calibri" w:cs="Calibri"/>
          <w:b/>
          <w:i/>
          <w:color w:val="000000"/>
          <w:sz w:val="22"/>
          <w:szCs w:val="22"/>
        </w:rPr>
        <w:t xml:space="preserve">O primeiro artigo do texto indicará o objeto da lei e o respectivo âmbito de aplicação, </w:t>
      </w:r>
      <w:r w:rsidRPr="00466DFA">
        <w:rPr>
          <w:rFonts w:ascii="Calibri" w:hAnsi="Calibri" w:cs="Calibri"/>
          <w:i/>
          <w:color w:val="000000"/>
          <w:sz w:val="22"/>
          <w:szCs w:val="22"/>
        </w:rPr>
        <w:t>observados os seguintes princípios: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(...)”.</w:t>
      </w:r>
    </w:p>
    <w:p w:rsidR="0012798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DFA" w:rsidP="000F6284">
    <w:pPr>
      <w:pStyle w:val="Header"/>
      <w:jc w:val="center"/>
      <w:rPr>
        <w:b/>
        <w:sz w:val="26"/>
        <w:lang w:val="pt-PT"/>
      </w:rPr>
    </w:pPr>
  </w:p>
  <w:p w:rsidR="00466DFA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DFA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2574699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591306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109049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66DFA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790443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092111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66DFA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66DFA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7060BA"/>
    <w:multiLevelType w:val="hybridMultilevel"/>
    <w:tmpl w:val="2F506ECA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15EB9"/>
    <w:rsid w:val="00031E27"/>
    <w:rsid w:val="0004095E"/>
    <w:rsid w:val="00055FB2"/>
    <w:rsid w:val="00060CA0"/>
    <w:rsid w:val="0007139A"/>
    <w:rsid w:val="000724D1"/>
    <w:rsid w:val="00072745"/>
    <w:rsid w:val="00087763"/>
    <w:rsid w:val="00094FC8"/>
    <w:rsid w:val="000A7037"/>
    <w:rsid w:val="000B4ADE"/>
    <w:rsid w:val="000B4AF0"/>
    <w:rsid w:val="000C08B8"/>
    <w:rsid w:val="000C1D38"/>
    <w:rsid w:val="000C3EF3"/>
    <w:rsid w:val="000C474F"/>
    <w:rsid w:val="000C5FC0"/>
    <w:rsid w:val="000E086D"/>
    <w:rsid w:val="000E3CF3"/>
    <w:rsid w:val="000F6284"/>
    <w:rsid w:val="00117687"/>
    <w:rsid w:val="00127987"/>
    <w:rsid w:val="0013060F"/>
    <w:rsid w:val="00132107"/>
    <w:rsid w:val="00132824"/>
    <w:rsid w:val="00141BA0"/>
    <w:rsid w:val="001420FA"/>
    <w:rsid w:val="0014270F"/>
    <w:rsid w:val="00146CE5"/>
    <w:rsid w:val="00152692"/>
    <w:rsid w:val="00174657"/>
    <w:rsid w:val="00187A4F"/>
    <w:rsid w:val="001A38C4"/>
    <w:rsid w:val="001C4D63"/>
    <w:rsid w:val="0022477A"/>
    <w:rsid w:val="002268B5"/>
    <w:rsid w:val="00230290"/>
    <w:rsid w:val="002324DA"/>
    <w:rsid w:val="002433C5"/>
    <w:rsid w:val="00252ADC"/>
    <w:rsid w:val="00261689"/>
    <w:rsid w:val="0026654A"/>
    <w:rsid w:val="00267046"/>
    <w:rsid w:val="00267382"/>
    <w:rsid w:val="00282C13"/>
    <w:rsid w:val="00287DF9"/>
    <w:rsid w:val="0029011B"/>
    <w:rsid w:val="002907F1"/>
    <w:rsid w:val="002B15C8"/>
    <w:rsid w:val="002B1985"/>
    <w:rsid w:val="002B4857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3080F"/>
    <w:rsid w:val="0036016D"/>
    <w:rsid w:val="00365F07"/>
    <w:rsid w:val="003774B8"/>
    <w:rsid w:val="0038135B"/>
    <w:rsid w:val="00387B4B"/>
    <w:rsid w:val="0039289D"/>
    <w:rsid w:val="00395D8C"/>
    <w:rsid w:val="003A2C23"/>
    <w:rsid w:val="003B02E8"/>
    <w:rsid w:val="003B0AE0"/>
    <w:rsid w:val="003B11BD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12E7C"/>
    <w:rsid w:val="00415659"/>
    <w:rsid w:val="00421304"/>
    <w:rsid w:val="004253B9"/>
    <w:rsid w:val="00436EDC"/>
    <w:rsid w:val="00440E92"/>
    <w:rsid w:val="004411BA"/>
    <w:rsid w:val="00442AE0"/>
    <w:rsid w:val="00445AFC"/>
    <w:rsid w:val="00450D7D"/>
    <w:rsid w:val="00451D9D"/>
    <w:rsid w:val="00466DFA"/>
    <w:rsid w:val="00483A4D"/>
    <w:rsid w:val="00484EF7"/>
    <w:rsid w:val="00494E9F"/>
    <w:rsid w:val="00497A57"/>
    <w:rsid w:val="004A1DBC"/>
    <w:rsid w:val="004B170A"/>
    <w:rsid w:val="004B1CA3"/>
    <w:rsid w:val="004D3AA4"/>
    <w:rsid w:val="004F1E85"/>
    <w:rsid w:val="004F2F14"/>
    <w:rsid w:val="004F44D9"/>
    <w:rsid w:val="00515A76"/>
    <w:rsid w:val="00516A25"/>
    <w:rsid w:val="00521E8D"/>
    <w:rsid w:val="00526E32"/>
    <w:rsid w:val="00526FB6"/>
    <w:rsid w:val="00536F9C"/>
    <w:rsid w:val="00541851"/>
    <w:rsid w:val="00546E3D"/>
    <w:rsid w:val="00564577"/>
    <w:rsid w:val="00565CBD"/>
    <w:rsid w:val="00582000"/>
    <w:rsid w:val="0058201A"/>
    <w:rsid w:val="005944FE"/>
    <w:rsid w:val="005B347A"/>
    <w:rsid w:val="005B5B3A"/>
    <w:rsid w:val="005C61FE"/>
    <w:rsid w:val="005D0942"/>
    <w:rsid w:val="005E0943"/>
    <w:rsid w:val="005E0CC1"/>
    <w:rsid w:val="005E6F3B"/>
    <w:rsid w:val="005F28BA"/>
    <w:rsid w:val="005F46C8"/>
    <w:rsid w:val="00600907"/>
    <w:rsid w:val="006045B4"/>
    <w:rsid w:val="00605D93"/>
    <w:rsid w:val="00620FEF"/>
    <w:rsid w:val="0062714B"/>
    <w:rsid w:val="00633897"/>
    <w:rsid w:val="00636BBC"/>
    <w:rsid w:val="00641AD2"/>
    <w:rsid w:val="00680952"/>
    <w:rsid w:val="00683121"/>
    <w:rsid w:val="00684901"/>
    <w:rsid w:val="006930B5"/>
    <w:rsid w:val="00696105"/>
    <w:rsid w:val="006969A0"/>
    <w:rsid w:val="006B19C9"/>
    <w:rsid w:val="006B2858"/>
    <w:rsid w:val="006B7254"/>
    <w:rsid w:val="006C1ABF"/>
    <w:rsid w:val="006C1E37"/>
    <w:rsid w:val="006C37F5"/>
    <w:rsid w:val="006D7024"/>
    <w:rsid w:val="006E1D73"/>
    <w:rsid w:val="006E288F"/>
    <w:rsid w:val="006E59A6"/>
    <w:rsid w:val="006F29C6"/>
    <w:rsid w:val="006F674F"/>
    <w:rsid w:val="00700B2A"/>
    <w:rsid w:val="007042A1"/>
    <w:rsid w:val="007125D7"/>
    <w:rsid w:val="0072713C"/>
    <w:rsid w:val="00737702"/>
    <w:rsid w:val="00743B3E"/>
    <w:rsid w:val="00743FE1"/>
    <w:rsid w:val="00745F2C"/>
    <w:rsid w:val="00747C65"/>
    <w:rsid w:val="0075062B"/>
    <w:rsid w:val="00750FEA"/>
    <w:rsid w:val="00757B87"/>
    <w:rsid w:val="007627E3"/>
    <w:rsid w:val="00777ACF"/>
    <w:rsid w:val="007949FB"/>
    <w:rsid w:val="00795897"/>
    <w:rsid w:val="007A7435"/>
    <w:rsid w:val="007B039B"/>
    <w:rsid w:val="007B1B19"/>
    <w:rsid w:val="007C28D8"/>
    <w:rsid w:val="007C2ECA"/>
    <w:rsid w:val="007D453B"/>
    <w:rsid w:val="007D5186"/>
    <w:rsid w:val="007E5326"/>
    <w:rsid w:val="007E6039"/>
    <w:rsid w:val="007E675B"/>
    <w:rsid w:val="007F01A5"/>
    <w:rsid w:val="007F2CCB"/>
    <w:rsid w:val="00805EF5"/>
    <w:rsid w:val="00806D16"/>
    <w:rsid w:val="00813CA7"/>
    <w:rsid w:val="00814806"/>
    <w:rsid w:val="008152AD"/>
    <w:rsid w:val="00815AF8"/>
    <w:rsid w:val="00822E24"/>
    <w:rsid w:val="008349E3"/>
    <w:rsid w:val="00834F2B"/>
    <w:rsid w:val="00837714"/>
    <w:rsid w:val="008444E5"/>
    <w:rsid w:val="00844764"/>
    <w:rsid w:val="00845148"/>
    <w:rsid w:val="00853783"/>
    <w:rsid w:val="00872C12"/>
    <w:rsid w:val="008831C3"/>
    <w:rsid w:val="008833EF"/>
    <w:rsid w:val="00884663"/>
    <w:rsid w:val="008923E9"/>
    <w:rsid w:val="00892795"/>
    <w:rsid w:val="008A2A1B"/>
    <w:rsid w:val="008B488E"/>
    <w:rsid w:val="008C03B4"/>
    <w:rsid w:val="008C16D5"/>
    <w:rsid w:val="008C1C27"/>
    <w:rsid w:val="008C24D7"/>
    <w:rsid w:val="008C51BE"/>
    <w:rsid w:val="0090054E"/>
    <w:rsid w:val="00900653"/>
    <w:rsid w:val="009028B1"/>
    <w:rsid w:val="00903636"/>
    <w:rsid w:val="0091480C"/>
    <w:rsid w:val="0091612B"/>
    <w:rsid w:val="0091678F"/>
    <w:rsid w:val="00923CD0"/>
    <w:rsid w:val="00935C32"/>
    <w:rsid w:val="009369FB"/>
    <w:rsid w:val="009403D3"/>
    <w:rsid w:val="00946FC6"/>
    <w:rsid w:val="009610E3"/>
    <w:rsid w:val="00967B88"/>
    <w:rsid w:val="0097203E"/>
    <w:rsid w:val="0098472D"/>
    <w:rsid w:val="00984F21"/>
    <w:rsid w:val="00991E39"/>
    <w:rsid w:val="00996E6A"/>
    <w:rsid w:val="009975F7"/>
    <w:rsid w:val="009977A8"/>
    <w:rsid w:val="009A128E"/>
    <w:rsid w:val="009B0A6D"/>
    <w:rsid w:val="009B4CD0"/>
    <w:rsid w:val="009B5F4D"/>
    <w:rsid w:val="009D506E"/>
    <w:rsid w:val="009D511B"/>
    <w:rsid w:val="009D550A"/>
    <w:rsid w:val="009D75A2"/>
    <w:rsid w:val="009F0B51"/>
    <w:rsid w:val="009F136A"/>
    <w:rsid w:val="00A02EF7"/>
    <w:rsid w:val="00A02FF7"/>
    <w:rsid w:val="00A039F0"/>
    <w:rsid w:val="00A11357"/>
    <w:rsid w:val="00A172F8"/>
    <w:rsid w:val="00A31F50"/>
    <w:rsid w:val="00A33C51"/>
    <w:rsid w:val="00A35149"/>
    <w:rsid w:val="00A45EA3"/>
    <w:rsid w:val="00A53F3E"/>
    <w:rsid w:val="00A63ED4"/>
    <w:rsid w:val="00A67E63"/>
    <w:rsid w:val="00A7176E"/>
    <w:rsid w:val="00A71D06"/>
    <w:rsid w:val="00AA0F4F"/>
    <w:rsid w:val="00AA13F0"/>
    <w:rsid w:val="00AB004A"/>
    <w:rsid w:val="00AB498A"/>
    <w:rsid w:val="00AC01B0"/>
    <w:rsid w:val="00AC08AA"/>
    <w:rsid w:val="00AC6896"/>
    <w:rsid w:val="00AD05AC"/>
    <w:rsid w:val="00AD740D"/>
    <w:rsid w:val="00B05955"/>
    <w:rsid w:val="00B13A6C"/>
    <w:rsid w:val="00B14DD5"/>
    <w:rsid w:val="00B20A65"/>
    <w:rsid w:val="00B22C55"/>
    <w:rsid w:val="00B60874"/>
    <w:rsid w:val="00B6516B"/>
    <w:rsid w:val="00B73ABA"/>
    <w:rsid w:val="00B778AA"/>
    <w:rsid w:val="00B93ED4"/>
    <w:rsid w:val="00BA65D2"/>
    <w:rsid w:val="00BB3B11"/>
    <w:rsid w:val="00BC2ABB"/>
    <w:rsid w:val="00BC387A"/>
    <w:rsid w:val="00BF55F6"/>
    <w:rsid w:val="00BF7288"/>
    <w:rsid w:val="00C0003E"/>
    <w:rsid w:val="00C02E72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95E1E"/>
    <w:rsid w:val="00CA0157"/>
    <w:rsid w:val="00CB2D83"/>
    <w:rsid w:val="00CB369D"/>
    <w:rsid w:val="00CC1FE4"/>
    <w:rsid w:val="00CD2DAD"/>
    <w:rsid w:val="00CD39F0"/>
    <w:rsid w:val="00CE0C3C"/>
    <w:rsid w:val="00CE5172"/>
    <w:rsid w:val="00CF7799"/>
    <w:rsid w:val="00D05705"/>
    <w:rsid w:val="00D111F9"/>
    <w:rsid w:val="00D13192"/>
    <w:rsid w:val="00D23EDD"/>
    <w:rsid w:val="00D31E84"/>
    <w:rsid w:val="00D33D7D"/>
    <w:rsid w:val="00D344FF"/>
    <w:rsid w:val="00D37D32"/>
    <w:rsid w:val="00D4374D"/>
    <w:rsid w:val="00D61860"/>
    <w:rsid w:val="00D637D4"/>
    <w:rsid w:val="00D71FE6"/>
    <w:rsid w:val="00D72476"/>
    <w:rsid w:val="00D775B5"/>
    <w:rsid w:val="00D822CC"/>
    <w:rsid w:val="00DA1655"/>
    <w:rsid w:val="00DA4495"/>
    <w:rsid w:val="00DA485E"/>
    <w:rsid w:val="00DA5745"/>
    <w:rsid w:val="00DB1210"/>
    <w:rsid w:val="00DB2D3E"/>
    <w:rsid w:val="00DD4EC2"/>
    <w:rsid w:val="00DE5290"/>
    <w:rsid w:val="00DF4BF9"/>
    <w:rsid w:val="00DF576F"/>
    <w:rsid w:val="00DF5B72"/>
    <w:rsid w:val="00E06861"/>
    <w:rsid w:val="00E20AD6"/>
    <w:rsid w:val="00E307C3"/>
    <w:rsid w:val="00E60FD0"/>
    <w:rsid w:val="00E654B2"/>
    <w:rsid w:val="00E65F4B"/>
    <w:rsid w:val="00E661C5"/>
    <w:rsid w:val="00E67B0A"/>
    <w:rsid w:val="00E7515C"/>
    <w:rsid w:val="00E9216A"/>
    <w:rsid w:val="00E957F5"/>
    <w:rsid w:val="00EA0F15"/>
    <w:rsid w:val="00EA1A35"/>
    <w:rsid w:val="00EA1DB6"/>
    <w:rsid w:val="00EB228B"/>
    <w:rsid w:val="00EB315E"/>
    <w:rsid w:val="00ED1E87"/>
    <w:rsid w:val="00ED612E"/>
    <w:rsid w:val="00EF35F1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56203"/>
    <w:rsid w:val="00F752F1"/>
    <w:rsid w:val="00F82AEB"/>
    <w:rsid w:val="00F8645F"/>
    <w:rsid w:val="00F91600"/>
    <w:rsid w:val="00F94A2F"/>
    <w:rsid w:val="00FC3987"/>
    <w:rsid w:val="00FC6AF1"/>
    <w:rsid w:val="00FD38DB"/>
    <w:rsid w:val="00FF614D"/>
    <w:rsid w:val="00FF7E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EE7B-11F1-425B-97C2-40A986B9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7</cp:revision>
  <cp:lastPrinted>2021-12-03T16:31:00Z</cp:lastPrinted>
  <dcterms:created xsi:type="dcterms:W3CDTF">2023-03-21T19:02:00Z</dcterms:created>
  <dcterms:modified xsi:type="dcterms:W3CDTF">2023-03-23T18:28:00Z</dcterms:modified>
</cp:coreProperties>
</file>