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37577" w:rsidP="00FB0318">
      <w:pPr>
        <w:pStyle w:val="Default"/>
        <w:jc w:val="both"/>
        <w:rPr>
          <w:rFonts w:asciiTheme="minorHAnsi" w:hAnsiTheme="minorHAnsi" w:cstheme="minorHAnsi"/>
          <w:b/>
          <w:color w:val="auto"/>
        </w:rPr>
      </w:pPr>
      <w:r w:rsidRPr="00737577">
        <w:rPr>
          <w:rFonts w:asciiTheme="minorHAnsi" w:hAnsiTheme="minorHAnsi" w:cstheme="minorHAnsi"/>
          <w:b/>
          <w:color w:val="auto"/>
        </w:rPr>
        <w:t>Parecer J</w:t>
      </w:r>
      <w:r w:rsidRPr="00737577" w:rsidR="00E503EA">
        <w:rPr>
          <w:rFonts w:asciiTheme="minorHAnsi" w:hAnsiTheme="minorHAnsi" w:cstheme="minorHAnsi"/>
          <w:b/>
          <w:color w:val="auto"/>
        </w:rPr>
        <w:t>urídico</w:t>
      </w:r>
      <w:r w:rsidRPr="00737577">
        <w:rPr>
          <w:rFonts w:asciiTheme="minorHAnsi" w:hAnsiTheme="minorHAnsi" w:cstheme="minorHAnsi"/>
          <w:b/>
          <w:color w:val="auto"/>
        </w:rPr>
        <w:t xml:space="preserve"> nº </w:t>
      </w:r>
      <w:r w:rsidRPr="00737577" w:rsidR="00737577">
        <w:rPr>
          <w:rFonts w:asciiTheme="minorHAnsi" w:hAnsiTheme="minorHAnsi" w:cstheme="minorHAnsi"/>
          <w:b/>
          <w:color w:val="auto"/>
        </w:rPr>
        <w:t>105</w:t>
      </w:r>
      <w:r w:rsidRPr="00737577" w:rsidR="00582F11">
        <w:rPr>
          <w:rFonts w:asciiTheme="minorHAnsi" w:hAnsiTheme="minorHAnsi" w:cstheme="minorHAnsi"/>
          <w:b/>
          <w:color w:val="auto"/>
        </w:rPr>
        <w:t>/</w:t>
      </w:r>
      <w:r w:rsidRPr="00737577">
        <w:rPr>
          <w:rFonts w:asciiTheme="minorHAnsi" w:hAnsiTheme="minorHAnsi" w:cstheme="minorHAnsi"/>
          <w:b/>
          <w:color w:val="auto"/>
        </w:rPr>
        <w:t>20</w:t>
      </w:r>
      <w:r w:rsidRPr="00737577" w:rsidR="00C65153">
        <w:rPr>
          <w:rFonts w:asciiTheme="minorHAnsi" w:hAnsiTheme="minorHAnsi" w:cstheme="minorHAnsi"/>
          <w:b/>
          <w:color w:val="auto"/>
        </w:rPr>
        <w:t>2</w:t>
      </w:r>
      <w:r w:rsidRPr="00737577" w:rsidR="00E02709">
        <w:rPr>
          <w:rFonts w:asciiTheme="minorHAnsi" w:hAnsiTheme="minorHAnsi" w:cstheme="minorHAnsi"/>
          <w:b/>
          <w:color w:val="auto"/>
        </w:rPr>
        <w:t>3</w:t>
      </w:r>
    </w:p>
    <w:p w:rsidR="005101D9" w:rsidP="00200A45">
      <w:pPr>
        <w:tabs>
          <w:tab w:val="left" w:pos="1134"/>
        </w:tabs>
        <w:spacing w:after="0" w:line="240" w:lineRule="auto"/>
        <w:jc w:val="both"/>
        <w:rPr>
          <w:rFonts w:cstheme="minorHAnsi"/>
          <w:sz w:val="24"/>
          <w:szCs w:val="24"/>
        </w:rPr>
      </w:pPr>
      <w:r w:rsidRPr="006405CE">
        <w:rPr>
          <w:rFonts w:cstheme="minorHAnsi"/>
          <w:b/>
          <w:bCs/>
          <w:sz w:val="24"/>
          <w:szCs w:val="24"/>
        </w:rPr>
        <w:t xml:space="preserve">Assunto: </w:t>
      </w:r>
      <w:r w:rsidR="00731CB5">
        <w:rPr>
          <w:rFonts w:cstheme="minorHAnsi"/>
          <w:bCs/>
          <w:sz w:val="24"/>
          <w:szCs w:val="24"/>
        </w:rPr>
        <w:t>Protocol</w:t>
      </w:r>
      <w:r w:rsidR="00200A45">
        <w:rPr>
          <w:rFonts w:cstheme="minorHAnsi"/>
          <w:bCs/>
          <w:sz w:val="24"/>
          <w:szCs w:val="24"/>
        </w:rPr>
        <w:t>os nº 00053/2023 e 0078/2023</w:t>
      </w:r>
      <w:r w:rsidR="00C72A66">
        <w:rPr>
          <w:rFonts w:cstheme="minorHAnsi"/>
          <w:bCs/>
          <w:sz w:val="24"/>
          <w:szCs w:val="24"/>
        </w:rPr>
        <w:t xml:space="preserve"> – Parecer Jurídico nº 459/2022 </w:t>
      </w:r>
      <w:r w:rsidR="00133FD0">
        <w:rPr>
          <w:rFonts w:cstheme="minorHAnsi"/>
          <w:bCs/>
          <w:sz w:val="24"/>
          <w:szCs w:val="24"/>
        </w:rPr>
        <w:t>-</w:t>
      </w:r>
      <w:r w:rsidRPr="00200A45" w:rsidR="00133FD0">
        <w:rPr>
          <w:rFonts w:cstheme="minorHAnsi"/>
          <w:bCs/>
          <w:sz w:val="24"/>
          <w:szCs w:val="24"/>
        </w:rPr>
        <w:t xml:space="preserve"> Projeto</w:t>
      </w:r>
      <w:r w:rsidR="0039276C">
        <w:rPr>
          <w:rFonts w:cstheme="minorHAnsi"/>
          <w:bCs/>
          <w:sz w:val="24"/>
          <w:szCs w:val="24"/>
        </w:rPr>
        <w:t xml:space="preserve"> de Lei nº 236/</w:t>
      </w:r>
      <w:r w:rsidRPr="00200A45" w:rsidR="00200A45">
        <w:rPr>
          <w:rFonts w:cstheme="minorHAnsi"/>
          <w:bCs/>
          <w:sz w:val="24"/>
          <w:szCs w:val="24"/>
        </w:rPr>
        <w:t>2022 que</w:t>
      </w:r>
      <w:r w:rsidR="00200A45">
        <w:rPr>
          <w:rFonts w:cstheme="minorHAnsi"/>
          <w:b/>
          <w:bCs/>
          <w:sz w:val="24"/>
          <w:szCs w:val="24"/>
        </w:rPr>
        <w:t xml:space="preserve"> “</w:t>
      </w:r>
      <w:r w:rsidRPr="00620F66" w:rsidR="00620F66">
        <w:rPr>
          <w:rFonts w:cstheme="minorHAnsi"/>
          <w:sz w:val="24"/>
          <w:szCs w:val="24"/>
        </w:rPr>
        <w:t>Dispõe sobre o novo plano de cargos, carreira e vencimentos dos integrantes da Guarda Civil Municipal de Va</w:t>
      </w:r>
      <w:r w:rsidR="00620F66">
        <w:rPr>
          <w:rFonts w:cstheme="minorHAnsi"/>
          <w:sz w:val="24"/>
          <w:szCs w:val="24"/>
        </w:rPr>
        <w:t>linhos, na forma que especifica</w:t>
      </w:r>
      <w:r w:rsidR="00200A45">
        <w:rPr>
          <w:rFonts w:cstheme="minorHAnsi"/>
          <w:sz w:val="24"/>
          <w:szCs w:val="24"/>
        </w:rPr>
        <w:t>”.</w:t>
      </w:r>
      <w:r w:rsidR="00E02709">
        <w:rPr>
          <w:rFonts w:cstheme="minorHAnsi"/>
          <w:sz w:val="24"/>
          <w:szCs w:val="24"/>
        </w:rPr>
        <w:t xml:space="preserve"> </w:t>
      </w:r>
    </w:p>
    <w:p w:rsidR="00200A45" w:rsidP="00200A45">
      <w:pPr>
        <w:tabs>
          <w:tab w:val="left" w:pos="1134"/>
        </w:tabs>
        <w:spacing w:after="0" w:line="240" w:lineRule="auto"/>
        <w:jc w:val="both"/>
        <w:rPr>
          <w:rFonts w:eastAsia="Times New Roman" w:cstheme="minorHAnsi"/>
          <w:color w:val="FF0000"/>
          <w:sz w:val="24"/>
          <w:szCs w:val="24"/>
          <w:shd w:val="clear" w:color="auto" w:fill="FFFFFF"/>
          <w:lang w:eastAsia="pt-BR"/>
        </w:rPr>
      </w:pPr>
    </w:p>
    <w:p w:rsidR="00200A45" w:rsidRPr="009863CB" w:rsidP="00995E87">
      <w:pPr>
        <w:tabs>
          <w:tab w:val="left" w:pos="1134"/>
        </w:tabs>
        <w:jc w:val="both"/>
        <w:rPr>
          <w:rFonts w:eastAsia="Times New Roman" w:cstheme="minorHAnsi"/>
          <w:color w:val="FF0000"/>
          <w:sz w:val="24"/>
          <w:szCs w:val="24"/>
          <w:shd w:val="clear" w:color="auto" w:fill="FFFFFF"/>
          <w:lang w:eastAsia="pt-BR"/>
        </w:rPr>
      </w:pPr>
    </w:p>
    <w:p w:rsidR="00C65153" w:rsidRPr="006405CE" w:rsidP="00E503EA">
      <w:pPr>
        <w:pStyle w:val="Default"/>
        <w:jc w:val="both"/>
        <w:rPr>
          <w:rFonts w:asciiTheme="minorHAnsi" w:hAnsiTheme="minorHAnsi" w:cstheme="minorHAnsi"/>
          <w:b/>
          <w:i/>
          <w:color w:val="auto"/>
        </w:rPr>
      </w:pPr>
      <w:r w:rsidRPr="006405CE">
        <w:rPr>
          <w:rFonts w:asciiTheme="minorHAnsi" w:hAnsiTheme="minorHAnsi" w:cstheme="minorHAnsi"/>
          <w:b/>
          <w:i/>
          <w:color w:val="auto"/>
        </w:rPr>
        <w:t>À</w:t>
      </w:r>
      <w:r w:rsidR="00175485">
        <w:rPr>
          <w:rFonts w:asciiTheme="minorHAnsi" w:hAnsiTheme="minorHAnsi" w:cstheme="minorHAnsi"/>
          <w:b/>
          <w:i/>
          <w:color w:val="auto"/>
        </w:rPr>
        <w:t xml:space="preserve"> </w:t>
      </w:r>
      <w:r w:rsidRPr="006405CE">
        <w:rPr>
          <w:rFonts w:asciiTheme="minorHAnsi" w:hAnsiTheme="minorHAnsi" w:cstheme="minorHAnsi"/>
          <w:b/>
          <w:i/>
          <w:color w:val="auto"/>
        </w:rPr>
        <w:t>Comissão de Justiça e Redação</w:t>
      </w:r>
      <w:r w:rsidRPr="006405CE" w:rsidR="00973E66">
        <w:rPr>
          <w:rFonts w:asciiTheme="minorHAnsi" w:hAnsiTheme="minorHAnsi" w:cstheme="minorHAnsi"/>
          <w:b/>
          <w:i/>
          <w:color w:val="auto"/>
        </w:rPr>
        <w:t>,</w:t>
      </w:r>
    </w:p>
    <w:p w:rsidR="0058062A" w:rsidRPr="006405CE" w:rsidP="00053466">
      <w:pPr>
        <w:pStyle w:val="Default"/>
        <w:spacing w:line="360" w:lineRule="auto"/>
        <w:jc w:val="both"/>
        <w:rPr>
          <w:rFonts w:asciiTheme="minorHAnsi" w:hAnsiTheme="minorHAnsi" w:cstheme="minorHAnsi"/>
          <w:b/>
          <w:i/>
          <w:color w:val="auto"/>
        </w:rPr>
      </w:pPr>
      <w:r w:rsidRPr="006405CE">
        <w:rPr>
          <w:rFonts w:asciiTheme="minorHAnsi" w:hAnsiTheme="minorHAnsi" w:cstheme="minorHAnsi"/>
          <w:b/>
          <w:i/>
          <w:color w:val="auto"/>
        </w:rPr>
        <w:t xml:space="preserve">Exmo. </w:t>
      </w:r>
      <w:r w:rsidR="00200A45">
        <w:rPr>
          <w:rFonts w:asciiTheme="minorHAnsi" w:hAnsiTheme="minorHAnsi" w:cstheme="minorHAnsi"/>
          <w:b/>
          <w:i/>
          <w:color w:val="auto"/>
        </w:rPr>
        <w:t xml:space="preserve">Presidente </w:t>
      </w:r>
      <w:r w:rsidRPr="006405CE">
        <w:rPr>
          <w:rFonts w:asciiTheme="minorHAnsi" w:hAnsiTheme="minorHAnsi" w:cstheme="minorHAnsi"/>
          <w:b/>
          <w:i/>
          <w:color w:val="auto"/>
        </w:rPr>
        <w:t xml:space="preserve">Vereador </w:t>
      </w:r>
      <w:r w:rsidR="00200A45">
        <w:rPr>
          <w:rFonts w:asciiTheme="minorHAnsi" w:hAnsiTheme="minorHAnsi" w:cstheme="minorHAnsi"/>
          <w:b/>
          <w:i/>
          <w:color w:val="auto"/>
        </w:rPr>
        <w:t>Gabriel Bueno</w:t>
      </w:r>
      <w:r w:rsidRPr="006405CE" w:rsidR="00973E66">
        <w:rPr>
          <w:rFonts w:asciiTheme="minorHAnsi" w:hAnsiTheme="minorHAnsi" w:cstheme="minorHAnsi"/>
          <w:b/>
          <w:i/>
          <w:color w:val="auto"/>
        </w:rPr>
        <w:t>.</w:t>
      </w:r>
    </w:p>
    <w:p w:rsidR="00EC6150" w:rsidRPr="006405CE" w:rsidP="00053466">
      <w:pPr>
        <w:pStyle w:val="Default"/>
        <w:spacing w:line="360" w:lineRule="auto"/>
        <w:jc w:val="both"/>
        <w:rPr>
          <w:rFonts w:asciiTheme="minorHAnsi" w:hAnsiTheme="minorHAnsi" w:cstheme="minorHAnsi"/>
          <w:b/>
          <w:i/>
          <w:color w:val="auto"/>
        </w:rPr>
      </w:pPr>
    </w:p>
    <w:p w:rsidR="00623AD7" w:rsidRPr="006405CE" w:rsidP="003C2F5F">
      <w:pPr>
        <w:pStyle w:val="Default"/>
        <w:tabs>
          <w:tab w:val="left" w:pos="2055"/>
        </w:tabs>
        <w:spacing w:line="360" w:lineRule="auto"/>
        <w:jc w:val="both"/>
        <w:rPr>
          <w:rFonts w:asciiTheme="minorHAnsi" w:hAnsiTheme="minorHAnsi" w:cstheme="minorHAnsi"/>
          <w:b/>
          <w:i/>
          <w:color w:val="auto"/>
        </w:rPr>
      </w:pPr>
      <w:r w:rsidRPr="006405CE">
        <w:rPr>
          <w:rFonts w:asciiTheme="minorHAnsi" w:hAnsiTheme="minorHAnsi" w:cstheme="minorHAnsi"/>
          <w:b/>
          <w:i/>
          <w:color w:val="auto"/>
        </w:rPr>
        <w:tab/>
      </w:r>
    </w:p>
    <w:p w:rsidR="00200A45" w:rsidRPr="00C72A66" w:rsidP="00200A45">
      <w:pPr>
        <w:spacing w:after="240" w:line="360" w:lineRule="auto"/>
        <w:ind w:firstLine="1701"/>
        <w:jc w:val="both"/>
        <w:rPr>
          <w:rFonts w:eastAsia="Times New Roman" w:cstheme="minorHAnsi"/>
          <w:i/>
          <w:sz w:val="24"/>
          <w:szCs w:val="24"/>
          <w:lang w:eastAsia="pt-BR"/>
        </w:rPr>
      </w:pPr>
      <w:r w:rsidRPr="006405CE">
        <w:rPr>
          <w:rFonts w:eastAsia="Times New Roman" w:cstheme="minorHAnsi"/>
          <w:sz w:val="24"/>
          <w:szCs w:val="24"/>
          <w:lang w:eastAsia="pt-BR"/>
        </w:rPr>
        <w:t xml:space="preserve">Trata-se de parecer jurídico </w:t>
      </w:r>
      <w:r>
        <w:rPr>
          <w:rFonts w:eastAsia="Times New Roman" w:cstheme="minorHAnsi"/>
          <w:sz w:val="24"/>
          <w:szCs w:val="24"/>
          <w:lang w:eastAsia="pt-BR"/>
        </w:rPr>
        <w:t>solicitado pela Comissão de Justiça e R</w:t>
      </w:r>
      <w:r w:rsidR="00731CB5">
        <w:rPr>
          <w:rFonts w:eastAsia="Times New Roman" w:cstheme="minorHAnsi"/>
          <w:sz w:val="24"/>
          <w:szCs w:val="24"/>
          <w:lang w:eastAsia="pt-BR"/>
        </w:rPr>
        <w:t>edação em relação aos protocol</w:t>
      </w:r>
      <w:r>
        <w:rPr>
          <w:rFonts w:eastAsia="Times New Roman" w:cstheme="minorHAnsi"/>
          <w:sz w:val="24"/>
          <w:szCs w:val="24"/>
          <w:lang w:eastAsia="pt-BR"/>
        </w:rPr>
        <w:t xml:space="preserve">os </w:t>
      </w:r>
      <w:r>
        <w:rPr>
          <w:rFonts w:cstheme="minorHAnsi"/>
          <w:bCs/>
          <w:sz w:val="24"/>
          <w:szCs w:val="24"/>
        </w:rPr>
        <w:t>nº 00053/2023 e 0078/2023,</w:t>
      </w:r>
      <w:r w:rsidRPr="00200A45">
        <w:rPr>
          <w:rFonts w:cstheme="minorHAnsi"/>
          <w:bCs/>
          <w:sz w:val="24"/>
          <w:szCs w:val="24"/>
        </w:rPr>
        <w:t xml:space="preserve"> </w:t>
      </w:r>
      <w:r w:rsidR="0039276C">
        <w:rPr>
          <w:rFonts w:cstheme="minorHAnsi"/>
          <w:bCs/>
          <w:sz w:val="24"/>
          <w:szCs w:val="24"/>
        </w:rPr>
        <w:t>acostados aos</w:t>
      </w:r>
      <w:r w:rsidR="009E6BF6">
        <w:rPr>
          <w:rFonts w:cstheme="minorHAnsi"/>
          <w:bCs/>
          <w:sz w:val="24"/>
          <w:szCs w:val="24"/>
        </w:rPr>
        <w:t xml:space="preserve"> autos do</w:t>
      </w:r>
      <w:r w:rsidRPr="00200A45">
        <w:rPr>
          <w:rFonts w:cstheme="minorHAnsi"/>
          <w:bCs/>
          <w:sz w:val="24"/>
          <w:szCs w:val="24"/>
        </w:rPr>
        <w:t xml:space="preserve"> </w:t>
      </w:r>
      <w:r w:rsidR="009E6BF6">
        <w:rPr>
          <w:rFonts w:cstheme="minorHAnsi"/>
          <w:bCs/>
          <w:sz w:val="24"/>
          <w:szCs w:val="24"/>
        </w:rPr>
        <w:t>Pr</w:t>
      </w:r>
      <w:r w:rsidR="00FA2E7C">
        <w:rPr>
          <w:rFonts w:cstheme="minorHAnsi"/>
          <w:bCs/>
          <w:sz w:val="24"/>
          <w:szCs w:val="24"/>
        </w:rPr>
        <w:t>ojeto de Lei nº 236/</w:t>
      </w:r>
      <w:r w:rsidRPr="00200A45">
        <w:rPr>
          <w:rFonts w:cstheme="minorHAnsi"/>
          <w:bCs/>
          <w:sz w:val="24"/>
          <w:szCs w:val="24"/>
        </w:rPr>
        <w:t>2022</w:t>
      </w:r>
      <w:r>
        <w:rPr>
          <w:rFonts w:cstheme="minorHAnsi"/>
          <w:bCs/>
          <w:sz w:val="24"/>
          <w:szCs w:val="24"/>
        </w:rPr>
        <w:t>,</w:t>
      </w:r>
      <w:r w:rsidRPr="00200A45">
        <w:rPr>
          <w:rFonts w:cstheme="minorHAnsi"/>
          <w:bCs/>
          <w:sz w:val="24"/>
          <w:szCs w:val="24"/>
        </w:rPr>
        <w:t xml:space="preserve"> que</w:t>
      </w:r>
      <w:r>
        <w:rPr>
          <w:rFonts w:cstheme="minorHAnsi"/>
          <w:b/>
          <w:bCs/>
          <w:sz w:val="24"/>
          <w:szCs w:val="24"/>
        </w:rPr>
        <w:t xml:space="preserve"> </w:t>
      </w:r>
      <w:r w:rsidRPr="00C72A66">
        <w:rPr>
          <w:rFonts w:cstheme="minorHAnsi"/>
          <w:b/>
          <w:bCs/>
          <w:i/>
          <w:sz w:val="24"/>
          <w:szCs w:val="24"/>
        </w:rPr>
        <w:t>“</w:t>
      </w:r>
      <w:r w:rsidRPr="00C72A66">
        <w:rPr>
          <w:rFonts w:cstheme="minorHAnsi"/>
          <w:i/>
          <w:sz w:val="24"/>
          <w:szCs w:val="24"/>
        </w:rPr>
        <w:t xml:space="preserve">Dispõe sobre o novo plano de cargos, carreira e vencimentos dos integrantes da Guarda Civil Municipal de Valinhos, na forma que especifica”. </w:t>
      </w:r>
    </w:p>
    <w:p w:rsidR="00200A45" w:rsidP="005F07F7">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O protocol</w:t>
      </w:r>
      <w:r w:rsidR="00561335">
        <w:rPr>
          <w:rFonts w:asciiTheme="minorHAnsi" w:hAnsiTheme="minorHAnsi" w:cstheme="minorHAnsi"/>
          <w:szCs w:val="24"/>
        </w:rPr>
        <w:t>o nº 00053/2023 (págs.</w:t>
      </w:r>
      <w:r w:rsidR="00B23745">
        <w:rPr>
          <w:rFonts w:asciiTheme="minorHAnsi" w:hAnsiTheme="minorHAnsi" w:cstheme="minorHAnsi"/>
          <w:szCs w:val="24"/>
        </w:rPr>
        <w:t xml:space="preserve"> 132/134), </w:t>
      </w:r>
      <w:r w:rsidR="00C72A66">
        <w:rPr>
          <w:rFonts w:asciiTheme="minorHAnsi" w:hAnsiTheme="minorHAnsi" w:cstheme="minorHAnsi"/>
          <w:szCs w:val="24"/>
        </w:rPr>
        <w:t>assinado pelos membros do Grupo de Trabalho para Revisão do Plano de Cargos e Carreiras da Guarda Civil Municipal de Valinhos, instituído pelo Decreto nº 10.836/2021 e pelo Secretário de Secretaria de Segurança Pública e Cidadania, refere-se à ressalva co</w:t>
      </w:r>
      <w:r w:rsidR="00FA2E7C">
        <w:rPr>
          <w:rFonts w:asciiTheme="minorHAnsi" w:hAnsiTheme="minorHAnsi" w:cstheme="minorHAnsi"/>
          <w:szCs w:val="24"/>
        </w:rPr>
        <w:t xml:space="preserve">nstante do Parecer Jurídico nº 459/2022, </w:t>
      </w:r>
      <w:r w:rsidR="00561335">
        <w:rPr>
          <w:rFonts w:asciiTheme="minorHAnsi" w:hAnsiTheme="minorHAnsi" w:cstheme="minorHAnsi"/>
          <w:szCs w:val="24"/>
        </w:rPr>
        <w:t>que</w:t>
      </w:r>
      <w:r w:rsidRPr="00757BDF" w:rsidR="00757BDF">
        <w:rPr>
          <w:rFonts w:asciiTheme="minorHAnsi" w:hAnsiTheme="minorHAnsi" w:cstheme="minorHAnsi"/>
          <w:szCs w:val="24"/>
        </w:rPr>
        <w:t xml:space="preserve"> </w:t>
      </w:r>
      <w:r w:rsidR="003F0DCB">
        <w:rPr>
          <w:rFonts w:asciiTheme="minorHAnsi" w:hAnsiTheme="minorHAnsi" w:cstheme="minorHAnsi"/>
          <w:szCs w:val="24"/>
        </w:rPr>
        <w:t>recomenda</w:t>
      </w:r>
      <w:r w:rsidR="00FA2E7C">
        <w:rPr>
          <w:rFonts w:asciiTheme="minorHAnsi" w:hAnsiTheme="minorHAnsi" w:cstheme="minorHAnsi"/>
          <w:szCs w:val="24"/>
        </w:rPr>
        <w:t xml:space="preserve"> </w:t>
      </w:r>
      <w:r w:rsidR="003F0DCB">
        <w:rPr>
          <w:rFonts w:asciiTheme="minorHAnsi" w:hAnsiTheme="minorHAnsi" w:cstheme="minorHAnsi"/>
          <w:szCs w:val="24"/>
        </w:rPr>
        <w:t>a</w:t>
      </w:r>
      <w:r w:rsidR="00FA2E7C">
        <w:rPr>
          <w:rFonts w:asciiTheme="minorHAnsi" w:hAnsiTheme="minorHAnsi" w:cstheme="minorHAnsi"/>
          <w:szCs w:val="24"/>
        </w:rPr>
        <w:t xml:space="preserve"> </w:t>
      </w:r>
      <w:r w:rsidRPr="00757BDF" w:rsidR="00FA2E7C">
        <w:rPr>
          <w:rFonts w:asciiTheme="minorHAnsi" w:hAnsiTheme="minorHAnsi" w:cstheme="minorHAnsi"/>
          <w:szCs w:val="24"/>
        </w:rPr>
        <w:t>alteração do inciso II do art. 10 do</w:t>
      </w:r>
      <w:r w:rsidR="00757BDF">
        <w:rPr>
          <w:rFonts w:asciiTheme="minorHAnsi" w:hAnsiTheme="minorHAnsi" w:cstheme="minorHAnsi"/>
          <w:szCs w:val="24"/>
        </w:rPr>
        <w:t xml:space="preserve"> projeto</w:t>
      </w:r>
      <w:r w:rsidRPr="00757BDF" w:rsidR="00FA2E7C">
        <w:rPr>
          <w:rFonts w:asciiTheme="minorHAnsi" w:hAnsiTheme="minorHAnsi" w:cstheme="minorHAnsi"/>
          <w:szCs w:val="24"/>
        </w:rPr>
        <w:t xml:space="preserve"> </w:t>
      </w:r>
      <w:r w:rsidR="00561335">
        <w:rPr>
          <w:rFonts w:asciiTheme="minorHAnsi" w:hAnsiTheme="minorHAnsi" w:cstheme="minorHAnsi"/>
          <w:szCs w:val="24"/>
        </w:rPr>
        <w:t xml:space="preserve">de Lei nº 236/2022, </w:t>
      </w:r>
      <w:r w:rsidRPr="00757BDF" w:rsidR="00FA2E7C">
        <w:rPr>
          <w:rFonts w:asciiTheme="minorHAnsi" w:hAnsiTheme="minorHAnsi" w:cstheme="minorHAnsi"/>
          <w:szCs w:val="24"/>
        </w:rPr>
        <w:t>para supressão da idade máxima para inscrição no concurso para o cargo de guarda municipal,</w:t>
      </w:r>
      <w:r w:rsidR="009C6D2C">
        <w:rPr>
          <w:rFonts w:asciiTheme="minorHAnsi" w:hAnsiTheme="minorHAnsi" w:cstheme="minorHAnsi"/>
          <w:szCs w:val="24"/>
        </w:rPr>
        <w:t xml:space="preserve"> vejamos:</w:t>
      </w:r>
    </w:p>
    <w:p w:rsidR="000F5C1B" w:rsidRPr="009C6D2C" w:rsidP="00123AFE">
      <w:pPr>
        <w:pStyle w:val="BodyText"/>
        <w:spacing w:after="240" w:line="276" w:lineRule="auto"/>
        <w:ind w:left="2268"/>
        <w:jc w:val="both"/>
        <w:rPr>
          <w:rFonts w:asciiTheme="minorHAnsi" w:hAnsiTheme="minorHAnsi" w:cstheme="minorHAnsi"/>
          <w:i/>
          <w:szCs w:val="24"/>
        </w:rPr>
      </w:pPr>
      <w:r w:rsidRPr="009C6D2C">
        <w:rPr>
          <w:rFonts w:asciiTheme="minorHAnsi" w:hAnsiTheme="minorHAnsi" w:cstheme="minorHAnsi"/>
          <w:i/>
          <w:szCs w:val="24"/>
        </w:rPr>
        <w:t xml:space="preserve">No que tange à </w:t>
      </w:r>
      <w:r w:rsidRPr="009C6D2C">
        <w:rPr>
          <w:rFonts w:asciiTheme="minorHAnsi" w:hAnsiTheme="minorHAnsi" w:cstheme="minorHAnsi"/>
          <w:b/>
          <w:i/>
          <w:szCs w:val="24"/>
          <w:u w:val="single"/>
        </w:rPr>
        <w:t>idade máxima para ingresso no cargo de guarda municipal</w:t>
      </w:r>
      <w:r w:rsidRPr="009C6D2C">
        <w:rPr>
          <w:rFonts w:asciiTheme="minorHAnsi" w:hAnsiTheme="minorHAnsi" w:cstheme="minorHAnsi"/>
          <w:i/>
          <w:szCs w:val="24"/>
          <w:u w:val="single"/>
        </w:rPr>
        <w:t xml:space="preserve"> </w:t>
      </w:r>
      <w:r w:rsidRPr="009C6D2C" w:rsidR="003E7CBC">
        <w:rPr>
          <w:rFonts w:asciiTheme="minorHAnsi" w:hAnsiTheme="minorHAnsi" w:cstheme="minorHAnsi"/>
          <w:i/>
          <w:szCs w:val="24"/>
        </w:rPr>
        <w:t>colacionamos decisões</w:t>
      </w:r>
      <w:r w:rsidRPr="009C6D2C" w:rsidR="00AA1064">
        <w:rPr>
          <w:rFonts w:asciiTheme="minorHAnsi" w:hAnsiTheme="minorHAnsi" w:cstheme="minorHAnsi"/>
          <w:i/>
          <w:szCs w:val="24"/>
        </w:rPr>
        <w:t xml:space="preserve"> d</w:t>
      </w:r>
      <w:r w:rsidRPr="009C6D2C">
        <w:rPr>
          <w:rFonts w:asciiTheme="minorHAnsi" w:hAnsiTheme="minorHAnsi" w:cstheme="minorHAnsi"/>
          <w:i/>
          <w:szCs w:val="24"/>
        </w:rPr>
        <w:t>o Tribunal de Justiça do Estado de São Paulo</w:t>
      </w:r>
      <w:r w:rsidRPr="009C6D2C" w:rsidR="00AA1064">
        <w:rPr>
          <w:rFonts w:asciiTheme="minorHAnsi" w:hAnsiTheme="minorHAnsi" w:cstheme="minorHAnsi"/>
          <w:i/>
          <w:szCs w:val="24"/>
        </w:rPr>
        <w:t xml:space="preserve"> pela inconstitucional</w:t>
      </w:r>
      <w:r w:rsidRPr="009C6D2C" w:rsidR="0042683D">
        <w:rPr>
          <w:rFonts w:asciiTheme="minorHAnsi" w:hAnsiTheme="minorHAnsi" w:cstheme="minorHAnsi"/>
          <w:i/>
          <w:szCs w:val="24"/>
        </w:rPr>
        <w:t>idade d</w:t>
      </w:r>
      <w:r w:rsidRPr="009C6D2C" w:rsidR="003E7CBC">
        <w:rPr>
          <w:rFonts w:asciiTheme="minorHAnsi" w:hAnsiTheme="minorHAnsi" w:cstheme="minorHAnsi"/>
          <w:i/>
          <w:szCs w:val="24"/>
        </w:rPr>
        <w:t>esse requisito</w:t>
      </w:r>
      <w:r w:rsidRPr="009C6D2C" w:rsidR="00AA1064">
        <w:rPr>
          <w:rFonts w:asciiTheme="minorHAnsi" w:hAnsiTheme="minorHAnsi" w:cstheme="minorHAnsi"/>
          <w:i/>
          <w:szCs w:val="24"/>
        </w:rPr>
        <w:t>, vejamos:</w:t>
      </w:r>
    </w:p>
    <w:p w:rsidR="00F761EB" w:rsidRPr="009C6D2C" w:rsidP="00561335">
      <w:pPr>
        <w:pStyle w:val="BodyText"/>
        <w:spacing w:after="240" w:line="276" w:lineRule="auto"/>
        <w:ind w:left="2410"/>
        <w:jc w:val="both"/>
        <w:rPr>
          <w:rFonts w:ascii="Calibri" w:hAnsi="Calibri" w:cs="Calibri"/>
          <w:i/>
          <w:sz w:val="20"/>
          <w:shd w:val="clear" w:color="auto" w:fill="FFFFFF"/>
        </w:rPr>
      </w:pPr>
      <w:r w:rsidRPr="009C6D2C">
        <w:rPr>
          <w:rFonts w:ascii="Calibri" w:hAnsi="Calibri" w:cs="Calibri"/>
          <w:i/>
          <w:sz w:val="22"/>
          <w:szCs w:val="22"/>
          <w:shd w:val="clear" w:color="auto" w:fill="FFFFFF"/>
        </w:rPr>
        <w:t xml:space="preserve">AÇÃO DIRETA DE INCONSTITUCIONALIDADE. Anexo III da Lei Complementar </w:t>
      </w:r>
      <w:r w:rsidRPr="009C6D2C">
        <w:rPr>
          <w:rFonts w:ascii="Calibri" w:hAnsi="Calibri" w:cs="Calibri"/>
          <w:b/>
          <w:i/>
          <w:sz w:val="22"/>
          <w:szCs w:val="22"/>
          <w:shd w:val="clear" w:color="auto" w:fill="FFFFFF"/>
        </w:rPr>
        <w:t>Municipal de Praia Grande</w:t>
      </w:r>
      <w:r w:rsidRPr="009C6D2C">
        <w:rPr>
          <w:rFonts w:ascii="Calibri" w:hAnsi="Calibri" w:cs="Calibri"/>
          <w:i/>
          <w:sz w:val="22"/>
          <w:szCs w:val="22"/>
          <w:shd w:val="clear" w:color="auto" w:fill="FFFFFF"/>
        </w:rPr>
        <w:t xml:space="preserve"> n.º 602/11, com redação dada pela Lei Complementar Municipal n.º 685/14, na parte que estabelece </w:t>
      </w:r>
      <w:r w:rsidRPr="009C6D2C">
        <w:rPr>
          <w:rFonts w:ascii="Calibri" w:hAnsi="Calibri" w:cs="Calibri"/>
          <w:b/>
          <w:i/>
          <w:sz w:val="22"/>
          <w:szCs w:val="22"/>
          <w:shd w:val="clear" w:color="auto" w:fill="FFFFFF"/>
        </w:rPr>
        <w:t xml:space="preserve">idade máxima para investidura no cargo de Guarda </w:t>
      </w:r>
      <w:r w:rsidRPr="009C6D2C">
        <w:rPr>
          <w:rFonts w:ascii="Calibri" w:hAnsi="Calibri" w:cs="Calibri"/>
          <w:b/>
          <w:i/>
          <w:sz w:val="22"/>
          <w:szCs w:val="22"/>
          <w:shd w:val="clear" w:color="auto" w:fill="FFFFFF"/>
        </w:rPr>
        <w:t xml:space="preserve">Municipal. </w:t>
      </w:r>
      <w:r w:rsidRPr="009C6D2C">
        <w:rPr>
          <w:rFonts w:ascii="Calibri" w:hAnsi="Calibri" w:cs="Calibri"/>
          <w:b/>
          <w:i/>
          <w:sz w:val="22"/>
          <w:szCs w:val="22"/>
          <w:u w:val="single"/>
          <w:shd w:val="clear" w:color="auto" w:fill="FFFFFF"/>
        </w:rPr>
        <w:t>Limite de 35 anos. Inadmissibilidade</w:t>
      </w:r>
      <w:r w:rsidRPr="009C6D2C">
        <w:rPr>
          <w:rFonts w:ascii="Calibri" w:hAnsi="Calibri" w:cs="Calibri"/>
          <w:b/>
          <w:i/>
          <w:sz w:val="22"/>
          <w:szCs w:val="22"/>
          <w:shd w:val="clear" w:color="auto" w:fill="FFFFFF"/>
        </w:rPr>
        <w:t xml:space="preserve">. Violação ao princípio da razoabilidade. Atribuições do cargo que não estão especificamente relacionadas à idade dos servidores, mas à aptidão física para o exercício da atividade. Não bastasse, matéria que é disciplinada pela Lei n.º 13.022/14, que dispõe sobre o Estatuto Geral das Guardas Municipais. Inexistência de interesse local para fixar idade máxima para investidura. Inconstitucionalidade. Ocorrência. Inteligência dos arts. 111, 115, inc. XXVII, e 144 da CE. </w:t>
      </w:r>
      <w:r w:rsidRPr="009C6D2C">
        <w:rPr>
          <w:rFonts w:ascii="Calibri" w:hAnsi="Calibri" w:cs="Calibri"/>
          <w:i/>
          <w:sz w:val="22"/>
          <w:szCs w:val="22"/>
          <w:shd w:val="clear" w:color="auto" w:fill="FFFFFF"/>
        </w:rPr>
        <w:t>Modulação. Inadmissibilidade. Inexistência de razões de segurança jurídica ou de excepcional interesse social. Precedentes deste C. Órgão Especial. Pedido procedente, com observação, prejudicados os embargos de declaração. (</w:t>
      </w:r>
      <w:r w:rsidRPr="009C6D2C">
        <w:rPr>
          <w:rFonts w:ascii="Calibri" w:hAnsi="Calibri" w:cs="Calibri"/>
          <w:i/>
          <w:sz w:val="20"/>
          <w:shd w:val="clear" w:color="auto" w:fill="FFFFFF"/>
        </w:rPr>
        <w:t>TJSP;  Direta de Inconstitucionalidade 2029599-81.2022.8.26.0000; Relator (a): Tasso Duarte de Melo; Órgão Julgador: Órgão Especial; Tribunal de Justiça de São Paulo - N/A; Data do Julgamento: 07/12/2022; Data de Registro: 09/12/2022)</w:t>
      </w:r>
    </w:p>
    <w:p w:rsidR="00F761EB" w:rsidRPr="009C6D2C" w:rsidP="00561335">
      <w:pPr>
        <w:pStyle w:val="BodyText"/>
        <w:pBdr>
          <w:top w:val="single" w:sz="12" w:space="1" w:color="auto"/>
          <w:bottom w:val="single" w:sz="12" w:space="1" w:color="auto"/>
        </w:pBdr>
        <w:spacing w:after="240" w:line="276" w:lineRule="auto"/>
        <w:ind w:left="2410"/>
        <w:jc w:val="both"/>
        <w:rPr>
          <w:rFonts w:ascii="Calibri" w:hAnsi="Calibri" w:cs="Calibri"/>
          <w:i/>
          <w:sz w:val="4"/>
          <w:szCs w:val="4"/>
          <w:shd w:val="clear" w:color="auto" w:fill="FFFFFF"/>
        </w:rPr>
      </w:pPr>
    </w:p>
    <w:p w:rsidR="00F761EB" w:rsidRPr="009C6D2C" w:rsidP="00561335">
      <w:pPr>
        <w:pStyle w:val="BodyText"/>
        <w:pBdr>
          <w:top w:val="single" w:sz="12" w:space="1" w:color="auto"/>
          <w:bottom w:val="single" w:sz="12" w:space="1" w:color="auto"/>
        </w:pBdr>
        <w:spacing w:after="240" w:line="276" w:lineRule="auto"/>
        <w:ind w:left="2410"/>
        <w:jc w:val="both"/>
        <w:rPr>
          <w:rFonts w:ascii="Calibri" w:hAnsi="Calibri" w:cs="Calibri"/>
          <w:i/>
          <w:sz w:val="22"/>
          <w:szCs w:val="22"/>
          <w:shd w:val="clear" w:color="auto" w:fill="FFFFFF"/>
        </w:rPr>
      </w:pPr>
      <w:r w:rsidRPr="009C6D2C">
        <w:rPr>
          <w:rFonts w:ascii="Calibri" w:hAnsi="Calibri" w:cs="Calibri"/>
          <w:i/>
          <w:sz w:val="22"/>
          <w:szCs w:val="22"/>
          <w:shd w:val="clear" w:color="auto" w:fill="FFFFFF"/>
        </w:rPr>
        <w:t xml:space="preserve">AÇÃO DIRETA DE INCONSTITUCINALIDADE. Questionamento de validade do artigo 136, § 2º, inciso II, da Lei Complementar n. 215, de 29 de abril de 2014, com a redação dada pela Lei Complementar n. 245, de 23 de fevereiro de 2017, ambas do </w:t>
      </w:r>
      <w:r w:rsidRPr="009C6D2C">
        <w:rPr>
          <w:rFonts w:ascii="Calibri" w:hAnsi="Calibri" w:cs="Calibri"/>
          <w:b/>
          <w:i/>
          <w:sz w:val="22"/>
          <w:szCs w:val="22"/>
          <w:shd w:val="clear" w:color="auto" w:fill="FFFFFF"/>
        </w:rPr>
        <w:t>Município de Socorro.</w:t>
      </w:r>
      <w:r w:rsidRPr="009C6D2C">
        <w:rPr>
          <w:rFonts w:ascii="Calibri" w:hAnsi="Calibri" w:cs="Calibri"/>
          <w:i/>
          <w:sz w:val="22"/>
          <w:szCs w:val="22"/>
          <w:shd w:val="clear" w:color="auto" w:fill="FFFFFF"/>
        </w:rPr>
        <w:t xml:space="preserve"> </w:t>
      </w:r>
      <w:r w:rsidRPr="009C6D2C">
        <w:rPr>
          <w:rFonts w:ascii="Calibri" w:hAnsi="Calibri" w:cs="Calibri"/>
          <w:b/>
          <w:i/>
          <w:sz w:val="22"/>
          <w:szCs w:val="22"/>
          <w:shd w:val="clear" w:color="auto" w:fill="FFFFFF"/>
        </w:rPr>
        <w:t>Dispositivo que estabelece como requisito para inscrição em concurso público para cargo de Guarda Civil Municipal, a idade máxima de 35 anos.</w:t>
      </w:r>
      <w:r w:rsidRPr="009C6D2C">
        <w:rPr>
          <w:rFonts w:ascii="Calibri" w:hAnsi="Calibri" w:cs="Calibri"/>
          <w:i/>
          <w:sz w:val="22"/>
          <w:szCs w:val="22"/>
          <w:shd w:val="clear" w:color="auto" w:fill="FFFFFF"/>
        </w:rPr>
        <w:t xml:space="preserve"> Alegação de ofensa às disposições dos artigos 111 e 115, inciso XXVII, da Constituição Estadual. Reconhecimento. </w:t>
      </w:r>
      <w:r w:rsidRPr="009C6D2C">
        <w:rPr>
          <w:rFonts w:ascii="Calibri" w:hAnsi="Calibri" w:cs="Calibri"/>
          <w:b/>
          <w:i/>
          <w:sz w:val="22"/>
          <w:szCs w:val="22"/>
          <w:shd w:val="clear" w:color="auto" w:fill="FFFFFF"/>
        </w:rPr>
        <w:t xml:space="preserve">Questão que foi definida pelo Supremo Tribunal Federal no julgamento do Recurso Extraordinário n. 678.112/MG, em sede de repercussão geral, com fixação de tese no sentido de que "o estabelecimento de limite de idade para a inscrição em concurso público só se legitima quando possa ser justificado pela natureza das atribuições do cargo a ser preenchido" (Tema 646). Atribuições dos guardas civis que não se enquadram nessa hipótese excepcional para justificar a limitação imposta com base em critério etário. Precedentes. </w:t>
      </w:r>
      <w:r w:rsidRPr="009C6D2C">
        <w:rPr>
          <w:rFonts w:ascii="Calibri" w:hAnsi="Calibri" w:cs="Calibri"/>
          <w:i/>
          <w:sz w:val="22"/>
          <w:szCs w:val="22"/>
          <w:shd w:val="clear" w:color="auto" w:fill="FFFFFF"/>
        </w:rPr>
        <w:t>Ação julgada procedente. </w:t>
      </w:r>
      <w:r w:rsidRPr="009C6D2C">
        <w:rPr>
          <w:rFonts w:ascii="Calibri" w:hAnsi="Calibri" w:cs="Calibri"/>
          <w:i/>
          <w:sz w:val="20"/>
          <w:shd w:val="clear" w:color="auto" w:fill="FFFFFF"/>
        </w:rPr>
        <w:t>(TJSP;  Direta de Inconstitucionalidade 2152833-03.2022.8.26.0000; Relator (a): Ferreira Rodrigues; Órgão Julgador: Órgão Especial; Tribunal de Justiça de São Paulo - N/A; Data do Julgamento: 21/09/2022; Data de Registro: 29/09/2022)</w:t>
      </w:r>
    </w:p>
    <w:p w:rsidR="00AA1064" w:rsidRPr="009C6D2C" w:rsidP="00561335">
      <w:pPr>
        <w:pStyle w:val="BodyText"/>
        <w:pBdr>
          <w:bottom w:val="single" w:sz="12" w:space="1" w:color="auto"/>
        </w:pBdr>
        <w:spacing w:after="240" w:line="276" w:lineRule="auto"/>
        <w:ind w:left="2410"/>
        <w:jc w:val="both"/>
        <w:rPr>
          <w:rFonts w:ascii="Calibri" w:hAnsi="Calibri" w:cs="Calibri"/>
          <w:i/>
          <w:sz w:val="20"/>
          <w:shd w:val="clear" w:color="auto" w:fill="FFFFFF"/>
        </w:rPr>
      </w:pPr>
      <w:r w:rsidRPr="009C6D2C">
        <w:rPr>
          <w:rFonts w:ascii="Calibri" w:hAnsi="Calibri" w:cs="Calibri"/>
          <w:i/>
          <w:sz w:val="22"/>
          <w:szCs w:val="22"/>
          <w:shd w:val="clear" w:color="auto" w:fill="FFFFFF"/>
        </w:rPr>
        <w:t xml:space="preserve">AÇÃO DIRETA DE INCONSTITUCIONALIDADE – Lei nº 7.792, de 20 de dezembro de 2019, do </w:t>
      </w:r>
      <w:r w:rsidRPr="009C6D2C">
        <w:rPr>
          <w:rFonts w:ascii="Calibri" w:hAnsi="Calibri" w:cs="Calibri"/>
          <w:b/>
          <w:i/>
          <w:sz w:val="22"/>
          <w:szCs w:val="22"/>
          <w:shd w:val="clear" w:color="auto" w:fill="FFFFFF"/>
        </w:rPr>
        <w:t>Município de Guarulhos</w:t>
      </w:r>
      <w:r w:rsidRPr="009C6D2C">
        <w:rPr>
          <w:rFonts w:ascii="Calibri" w:hAnsi="Calibri" w:cs="Calibri"/>
          <w:i/>
          <w:sz w:val="22"/>
          <w:szCs w:val="22"/>
          <w:shd w:val="clear" w:color="auto" w:fill="FFFFFF"/>
        </w:rPr>
        <w:t xml:space="preserve">, que dispões sobre a </w:t>
      </w:r>
      <w:r w:rsidRPr="009C6D2C">
        <w:rPr>
          <w:rFonts w:ascii="Calibri" w:hAnsi="Calibri" w:cs="Calibri"/>
          <w:b/>
          <w:i/>
          <w:sz w:val="22"/>
          <w:szCs w:val="22"/>
          <w:shd w:val="clear" w:color="auto" w:fill="FFFFFF"/>
        </w:rPr>
        <w:t xml:space="preserve">'reestruturação do Plano de Cargos, Empregos, Carreira e Salários da Guarda Municipal' </w:t>
      </w:r>
      <w:r w:rsidRPr="009C6D2C">
        <w:rPr>
          <w:rFonts w:ascii="Calibri" w:hAnsi="Calibri" w:cs="Calibri"/>
          <w:i/>
          <w:sz w:val="22"/>
          <w:szCs w:val="22"/>
          <w:shd w:val="clear" w:color="auto" w:fill="FFFFFF"/>
        </w:rPr>
        <w:t xml:space="preserve">– </w:t>
      </w:r>
      <w:r w:rsidRPr="009C6D2C">
        <w:rPr>
          <w:rFonts w:ascii="Calibri" w:hAnsi="Calibri" w:cs="Calibri"/>
          <w:b/>
          <w:i/>
          <w:sz w:val="22"/>
          <w:szCs w:val="22"/>
          <w:shd w:val="clear" w:color="auto" w:fill="FFFFFF"/>
        </w:rPr>
        <w:t>Impugnação da expressão 'e máxima de trinta e cinco anos' contida no inciso V, do § 1º, do artigo 11, da referida lei, que cria a essa limitação etária para nomeação de candidatos aprovados em concurso público para ingresso na carreira</w:t>
      </w:r>
      <w:r w:rsidRPr="009C6D2C">
        <w:rPr>
          <w:rFonts w:ascii="Calibri" w:hAnsi="Calibri" w:cs="Calibri"/>
          <w:i/>
          <w:sz w:val="22"/>
          <w:szCs w:val="22"/>
          <w:shd w:val="clear" w:color="auto" w:fill="FFFFFF"/>
        </w:rPr>
        <w:t xml:space="preserve"> – IDADE – Possibilidade de limitação para ingresso em carreira pública desde que com justificativa plausível fundada na natureza das atribuições do cargo, segundo precedente em repercussão geral no TEMA 646 do Supremo Tribunal Federal – </w:t>
      </w:r>
      <w:r w:rsidRPr="009C6D2C">
        <w:rPr>
          <w:rFonts w:ascii="Calibri" w:hAnsi="Calibri" w:cs="Calibri"/>
          <w:b/>
          <w:i/>
          <w:sz w:val="22"/>
          <w:szCs w:val="22"/>
          <w:u w:val="single"/>
          <w:shd w:val="clear" w:color="auto" w:fill="FFFFFF"/>
        </w:rPr>
        <w:t xml:space="preserve">Inexistência de exigência de idade máxima para ingresso na carreira de guarda municipal na Lei Federal nº 13.022/2014, que estabelece as normas gerais do Estatuto Geral das Guardas Municipais – Circunstância em que não há espaço para atuação legislativa suplementar pelos Municípios, ausente interesse exclusivamente local para essa matéria – Exigência pautada na premissa de 'aptidão física' que se mostra desarrazoada em função das atribuições do cargo e em presunção equivocada sobre a real condição dos candidatos, apenas em função da sua idade – Violação dos princípios da razoabilidade e isonomia insculpidos nos artigos 111 e 115, inciso XXVII, da Constituição Bandeirante, bem como no TEMA 646, em repercussão geral, do S.T.F. – Precedentes deste Órgão Especial </w:t>
      </w:r>
      <w:r w:rsidRPr="009C6D2C">
        <w:rPr>
          <w:rFonts w:ascii="Calibri" w:hAnsi="Calibri" w:cs="Calibri"/>
          <w:i/>
          <w:sz w:val="22"/>
          <w:szCs w:val="22"/>
          <w:shd w:val="clear" w:color="auto" w:fill="FFFFFF"/>
        </w:rPr>
        <w:t>- MODULAÇÃO – Atribuição de efeitos 'ex nunc' para preservação da segurança jurídica em relação às nomeações efetuadas com base no critério etário ora expurgado - Ação julgada procedente, com modulação</w:t>
      </w:r>
      <w:r w:rsidRPr="009C6D2C">
        <w:rPr>
          <w:rFonts w:ascii="Calibri" w:hAnsi="Calibri" w:cs="Calibri"/>
          <w:i/>
          <w:sz w:val="20"/>
          <w:shd w:val="clear" w:color="auto" w:fill="FFFFFF"/>
        </w:rPr>
        <w:t xml:space="preserve">.*(TJSP;  Direta de Inconstitucionalidade 2060433-67.2022.8.26.0000; Relator (a): Jacob Valente; Órgão Julgador: Órgão Especial; Tribunal de Justiça de São Paulo - N/A; Data do Julgamento: 27/07/2022; Data de Registro: </w:t>
      </w:r>
      <w:r w:rsidRPr="009C6D2C">
        <w:rPr>
          <w:rFonts w:ascii="Calibri" w:hAnsi="Calibri" w:cs="Calibri"/>
          <w:b/>
          <w:i/>
          <w:sz w:val="20"/>
          <w:shd w:val="clear" w:color="auto" w:fill="FFFFFF"/>
        </w:rPr>
        <w:t>02/08/2022</w:t>
      </w:r>
      <w:r w:rsidRPr="009C6D2C">
        <w:rPr>
          <w:rFonts w:ascii="Calibri" w:hAnsi="Calibri" w:cs="Calibri"/>
          <w:i/>
          <w:sz w:val="20"/>
          <w:shd w:val="clear" w:color="auto" w:fill="FFFFFF"/>
        </w:rPr>
        <w:t>)</w:t>
      </w:r>
    </w:p>
    <w:p w:rsidR="009C6D2C" w:rsidRPr="009C6D2C" w:rsidP="0039276C">
      <w:pPr>
        <w:pStyle w:val="BodyText"/>
        <w:spacing w:after="0" w:line="276" w:lineRule="auto"/>
        <w:ind w:left="2268"/>
        <w:jc w:val="both"/>
        <w:rPr>
          <w:rFonts w:asciiTheme="minorHAnsi" w:hAnsiTheme="minorHAnsi" w:cstheme="minorHAnsi"/>
          <w:i/>
          <w:szCs w:val="24"/>
        </w:rPr>
      </w:pPr>
      <w:r w:rsidRPr="009C6D2C">
        <w:rPr>
          <w:rFonts w:asciiTheme="minorHAnsi" w:hAnsiTheme="minorHAnsi" w:cstheme="minorHAnsi"/>
          <w:i/>
          <w:szCs w:val="24"/>
        </w:rPr>
        <w:t xml:space="preserve">Destarte, data máxima vênia, </w:t>
      </w:r>
      <w:r w:rsidRPr="009C6D2C">
        <w:rPr>
          <w:rFonts w:asciiTheme="minorHAnsi" w:hAnsiTheme="minorHAnsi" w:cstheme="minorHAnsi"/>
          <w:b/>
          <w:i/>
          <w:szCs w:val="24"/>
        </w:rPr>
        <w:t>recomendamos a</w:t>
      </w:r>
      <w:r w:rsidRPr="009C6D2C">
        <w:rPr>
          <w:rFonts w:asciiTheme="minorHAnsi" w:hAnsiTheme="minorHAnsi" w:cstheme="minorHAnsi"/>
          <w:i/>
          <w:szCs w:val="24"/>
        </w:rPr>
        <w:t xml:space="preserve"> </w:t>
      </w:r>
      <w:r w:rsidRPr="009C6D2C">
        <w:rPr>
          <w:rFonts w:asciiTheme="minorHAnsi" w:hAnsiTheme="minorHAnsi" w:cstheme="minorHAnsi"/>
          <w:b/>
          <w:i/>
          <w:szCs w:val="24"/>
        </w:rPr>
        <w:t>alteração do inciso II do art. 10 para supressão da idade máxima para inscrição no concurso para o cargo de guarda municipal,</w:t>
      </w:r>
      <w:r w:rsidRPr="009C6D2C">
        <w:rPr>
          <w:rFonts w:asciiTheme="minorHAnsi" w:hAnsiTheme="minorHAnsi" w:cstheme="minorHAnsi"/>
          <w:i/>
          <w:szCs w:val="24"/>
        </w:rPr>
        <w:t xml:space="preserve"> in verbis: </w:t>
      </w:r>
    </w:p>
    <w:p w:rsidR="009C6D2C" w:rsidRPr="009C6D2C" w:rsidP="0039276C">
      <w:pPr>
        <w:pStyle w:val="BodyText"/>
        <w:spacing w:after="0" w:line="276" w:lineRule="auto"/>
        <w:ind w:left="2268"/>
        <w:jc w:val="both"/>
        <w:rPr>
          <w:rFonts w:ascii="Calibri" w:hAnsi="Calibri" w:cs="Calibri"/>
          <w:i/>
          <w:color w:val="000000"/>
          <w:sz w:val="22"/>
          <w:szCs w:val="22"/>
          <w:shd w:val="clear" w:color="auto" w:fill="FFFFFF"/>
        </w:rPr>
      </w:pPr>
      <w:r w:rsidRPr="009C6D2C">
        <w:rPr>
          <w:rFonts w:ascii="Calibri" w:hAnsi="Calibri" w:cs="Calibri"/>
          <w:i/>
          <w:color w:val="000000"/>
          <w:sz w:val="22"/>
          <w:szCs w:val="22"/>
          <w:shd w:val="clear" w:color="auto" w:fill="FFFFFF"/>
        </w:rPr>
        <w:t>Art. 10. As condições gerais mínimas exigidas dos candidatos no ato da inscrição para o concurso são as seguintes:</w:t>
      </w:r>
    </w:p>
    <w:p w:rsidR="009C6D2C" w:rsidRPr="009C6D2C" w:rsidP="00123AFE">
      <w:pPr>
        <w:pStyle w:val="BodyText"/>
        <w:spacing w:after="0" w:line="276" w:lineRule="auto"/>
        <w:ind w:left="2268"/>
        <w:jc w:val="both"/>
        <w:rPr>
          <w:rFonts w:ascii="Calibri" w:hAnsi="Calibri" w:cs="Calibri"/>
          <w:i/>
          <w:color w:val="000000"/>
          <w:sz w:val="22"/>
          <w:szCs w:val="22"/>
          <w:shd w:val="clear" w:color="auto" w:fill="FFFFFF"/>
        </w:rPr>
      </w:pPr>
      <w:r w:rsidRPr="009C6D2C">
        <w:rPr>
          <w:rFonts w:ascii="Calibri" w:hAnsi="Calibri" w:cs="Calibri"/>
          <w:i/>
          <w:color w:val="000000"/>
          <w:sz w:val="22"/>
          <w:szCs w:val="22"/>
          <w:shd w:val="clear" w:color="auto" w:fill="FFFFFF"/>
        </w:rPr>
        <w:t>(...)</w:t>
      </w:r>
    </w:p>
    <w:p w:rsidR="009C6D2C" w:rsidRPr="009C6D2C" w:rsidP="00561335">
      <w:pPr>
        <w:pStyle w:val="BodyText"/>
        <w:spacing w:after="0" w:line="276" w:lineRule="auto"/>
        <w:ind w:left="2268"/>
        <w:jc w:val="both"/>
        <w:rPr>
          <w:rFonts w:ascii="Calibri" w:hAnsi="Calibri" w:cs="Calibri"/>
          <w:i/>
          <w:color w:val="000000"/>
          <w:sz w:val="22"/>
          <w:szCs w:val="22"/>
          <w:shd w:val="clear" w:color="auto" w:fill="FFFFFF"/>
        </w:rPr>
      </w:pPr>
      <w:r w:rsidRPr="009C6D2C">
        <w:rPr>
          <w:rFonts w:ascii="Calibri" w:hAnsi="Calibri" w:cs="Calibri"/>
          <w:i/>
          <w:color w:val="000000"/>
          <w:sz w:val="22"/>
          <w:szCs w:val="22"/>
          <w:shd w:val="clear" w:color="auto" w:fill="FFFFFF"/>
        </w:rPr>
        <w:t xml:space="preserve">II - idade compreendida entre 18 (dezoito) e </w:t>
      </w:r>
      <w:r w:rsidRPr="009C6D2C">
        <w:rPr>
          <w:rFonts w:ascii="Calibri" w:hAnsi="Calibri" w:cs="Calibri"/>
          <w:b/>
          <w:i/>
          <w:color w:val="000000"/>
          <w:sz w:val="22"/>
          <w:szCs w:val="22"/>
          <w:shd w:val="clear" w:color="auto" w:fill="FFFFFF"/>
        </w:rPr>
        <w:t>35 (trinta e cinco) anos,</w:t>
      </w:r>
      <w:r w:rsidR="0045680E">
        <w:rPr>
          <w:rFonts w:ascii="Calibri" w:hAnsi="Calibri" w:cs="Calibri"/>
          <w:i/>
          <w:color w:val="000000"/>
          <w:sz w:val="22"/>
          <w:szCs w:val="22"/>
          <w:shd w:val="clear" w:color="auto" w:fill="FFFFFF"/>
        </w:rPr>
        <w:t xml:space="preserve"> no ato da posse;</w:t>
      </w:r>
      <w:r w:rsidR="00561335">
        <w:rPr>
          <w:rFonts w:ascii="Calibri" w:hAnsi="Calibri" w:cs="Calibri"/>
          <w:i/>
          <w:color w:val="000000"/>
          <w:sz w:val="22"/>
          <w:szCs w:val="22"/>
          <w:shd w:val="clear" w:color="auto" w:fill="FFFFFF"/>
        </w:rPr>
        <w:t xml:space="preserve"> </w:t>
      </w:r>
    </w:p>
    <w:p w:rsidR="008D4473" w:rsidP="008D447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 tema</w:t>
      </w:r>
      <w:r w:rsidRPr="0045680E" w:rsidR="009C6D2C">
        <w:rPr>
          <w:rFonts w:asciiTheme="minorHAnsi" w:hAnsiTheme="minorHAnsi" w:cstheme="minorHAnsi"/>
          <w:szCs w:val="24"/>
        </w:rPr>
        <w:t xml:space="preserve"> reiteramos recomendação constante do Parecer Jurídico nº 459/2022, porquanto </w:t>
      </w:r>
      <w:r w:rsidR="00A44F53">
        <w:rPr>
          <w:rFonts w:asciiTheme="minorHAnsi" w:hAnsiTheme="minorHAnsi" w:cstheme="minorHAnsi"/>
          <w:szCs w:val="24"/>
        </w:rPr>
        <w:t xml:space="preserve">embasando o entendimento esposado </w:t>
      </w:r>
      <w:r w:rsidRPr="0045680E" w:rsidR="00A44F53">
        <w:rPr>
          <w:rFonts w:asciiTheme="minorHAnsi" w:hAnsiTheme="minorHAnsi" w:cstheme="minorHAnsi"/>
          <w:szCs w:val="24"/>
        </w:rPr>
        <w:t xml:space="preserve">encontramos </w:t>
      </w:r>
      <w:r w:rsidRPr="0045680E">
        <w:rPr>
          <w:rFonts w:asciiTheme="minorHAnsi" w:hAnsiTheme="minorHAnsi" w:cstheme="minorHAnsi"/>
          <w:szCs w:val="24"/>
        </w:rPr>
        <w:t>no Tribunal de Justiça do Estado de São Paulo</w:t>
      </w:r>
      <w:r w:rsidRPr="0045680E" w:rsidR="009C6D2C">
        <w:rPr>
          <w:rFonts w:asciiTheme="minorHAnsi" w:hAnsiTheme="minorHAnsi" w:cstheme="minorHAnsi"/>
          <w:szCs w:val="24"/>
        </w:rPr>
        <w:t xml:space="preserve"> diversos </w:t>
      </w:r>
      <w:r w:rsidR="008C1C49">
        <w:rPr>
          <w:rFonts w:asciiTheme="minorHAnsi" w:hAnsiTheme="minorHAnsi" w:cstheme="minorHAnsi"/>
          <w:szCs w:val="24"/>
        </w:rPr>
        <w:t>julgados</w:t>
      </w:r>
      <w:r w:rsidRPr="0045680E" w:rsidR="009C6D2C">
        <w:rPr>
          <w:rFonts w:asciiTheme="minorHAnsi" w:hAnsiTheme="minorHAnsi" w:cstheme="minorHAnsi"/>
          <w:szCs w:val="24"/>
        </w:rPr>
        <w:t xml:space="preserve"> </w:t>
      </w:r>
      <w:r w:rsidR="0039276C">
        <w:rPr>
          <w:rFonts w:asciiTheme="minorHAnsi" w:hAnsiTheme="minorHAnsi" w:cstheme="minorHAnsi"/>
          <w:szCs w:val="24"/>
        </w:rPr>
        <w:t xml:space="preserve">decidindo pela </w:t>
      </w:r>
      <w:r w:rsidRPr="0045680E" w:rsidR="009C6D2C">
        <w:rPr>
          <w:rFonts w:asciiTheme="minorHAnsi" w:hAnsiTheme="minorHAnsi" w:cstheme="minorHAnsi"/>
          <w:szCs w:val="24"/>
        </w:rPr>
        <w:t xml:space="preserve">inconstitucionalidade </w:t>
      </w:r>
      <w:r w:rsidR="008C1C49">
        <w:rPr>
          <w:rFonts w:asciiTheme="minorHAnsi" w:hAnsiTheme="minorHAnsi" w:cstheme="minorHAnsi"/>
          <w:szCs w:val="24"/>
        </w:rPr>
        <w:t>da imposição</w:t>
      </w:r>
      <w:r w:rsidRPr="0045680E">
        <w:rPr>
          <w:rFonts w:asciiTheme="minorHAnsi" w:hAnsiTheme="minorHAnsi" w:cstheme="minorHAnsi"/>
          <w:szCs w:val="24"/>
        </w:rPr>
        <w:t xml:space="preserve"> de idade máxima para ingresso na carreira de guarda municipal</w:t>
      </w:r>
      <w:r w:rsidR="00732084">
        <w:rPr>
          <w:rFonts w:asciiTheme="minorHAnsi" w:hAnsiTheme="minorHAnsi" w:cstheme="minorHAnsi"/>
          <w:szCs w:val="24"/>
        </w:rPr>
        <w:t xml:space="preserve">. Vejamos recente </w:t>
      </w:r>
      <w:r w:rsidR="008C1C49">
        <w:rPr>
          <w:rFonts w:asciiTheme="minorHAnsi" w:hAnsiTheme="minorHAnsi" w:cstheme="minorHAnsi"/>
          <w:szCs w:val="24"/>
        </w:rPr>
        <w:t>precedente</w:t>
      </w:r>
      <w:r w:rsidR="00732084">
        <w:rPr>
          <w:rFonts w:asciiTheme="minorHAnsi" w:hAnsiTheme="minorHAnsi" w:cstheme="minorHAnsi"/>
          <w:szCs w:val="24"/>
        </w:rPr>
        <w:t>:</w:t>
      </w:r>
    </w:p>
    <w:p w:rsidR="00732084" w:rsidRPr="00123AFE" w:rsidP="00123AFE">
      <w:pPr>
        <w:pStyle w:val="BodyText"/>
        <w:spacing w:line="276" w:lineRule="auto"/>
        <w:ind w:left="2268"/>
        <w:jc w:val="both"/>
        <w:rPr>
          <w:rFonts w:ascii="Calibri" w:hAnsi="Calibri" w:cs="Calibri"/>
          <w:i/>
          <w:color w:val="000000"/>
          <w:sz w:val="20"/>
          <w:shd w:val="clear" w:color="auto" w:fill="FFFFFF"/>
        </w:rPr>
      </w:pPr>
      <w:r w:rsidRPr="00732084">
        <w:rPr>
          <w:rFonts w:ascii="Calibri" w:hAnsi="Calibri" w:cs="Calibri"/>
          <w:i/>
          <w:color w:val="000000"/>
          <w:sz w:val="22"/>
          <w:szCs w:val="22"/>
          <w:shd w:val="clear" w:color="auto" w:fill="FFFFFF"/>
        </w:rPr>
        <w:t xml:space="preserve">AÇÃO DIRETA DE INCONSTITUCIONALIDADE. Arguição de inconstitucionalidade em face das expressões "e no máximo 35 (trinta e cinco) anos" do inciso V do parágrafo único do art. 617 e "e no máximo 45 (quarenta e cinco) anos" do inciso V do parágrafo único do art. 618 da Lei Complementar n. 209, de 09 de maio de 2012, do município de Jaguariúna. </w:t>
      </w:r>
      <w:r w:rsidRPr="00732084">
        <w:rPr>
          <w:rFonts w:ascii="Calibri" w:hAnsi="Calibri" w:cs="Calibri"/>
          <w:b/>
          <w:i/>
          <w:color w:val="000000"/>
          <w:sz w:val="22"/>
          <w:szCs w:val="22"/>
          <w:shd w:val="clear" w:color="auto" w:fill="FFFFFF"/>
        </w:rPr>
        <w:t>Limitação de idade para ingresso nas carreiras de Guarda Municipal e Bombeiro Civil Municipal. Possibilidade de se estabelecer requisitos diferenciados de admissão quando a natureza do cargo o exigir, desde que respeitada a razoabilidade que a aplicação da norma requer.</w:t>
      </w:r>
      <w:r w:rsidRPr="00732084">
        <w:rPr>
          <w:rFonts w:ascii="Calibri" w:hAnsi="Calibri" w:cs="Calibri"/>
          <w:i/>
          <w:color w:val="000000"/>
          <w:sz w:val="22"/>
          <w:szCs w:val="22"/>
          <w:shd w:val="clear" w:color="auto" w:fill="FFFFFF"/>
        </w:rPr>
        <w:t xml:space="preserve"> O Supremo Tribunal Federal já teve a oportunidade de apreciar a temática do estabelecimento de idade para inscrição em concurso público firmando a Tese 646, em repercussão geral, que reconhece que "O estabelecimento de limite de idade para inscrição em concurso público apenas é legítimo quando justificado pela natureza das atribuições do cargo a ser preenchido". </w:t>
      </w:r>
      <w:r w:rsidRPr="00732084">
        <w:rPr>
          <w:rFonts w:ascii="Calibri" w:hAnsi="Calibri" w:cs="Calibri"/>
          <w:b/>
          <w:i/>
          <w:color w:val="000000"/>
          <w:sz w:val="22"/>
          <w:szCs w:val="22"/>
          <w:shd w:val="clear" w:color="auto" w:fill="FFFFFF"/>
        </w:rPr>
        <w:t>A despeito da possibilidade de se impor limitação etária quando a natureza do cargo o exigir, e, ainda que os cargos em análise demandam saúde plena e impecável preparo físico, com efeito, não se mostra razoável admitir a imposição de idade em 35 anos para Guarda Civil e 45 anos para Bombeiro Civil Municipal, sob pena de afronta à razoabilidade cuja aplicação da norma requer. Ação procedente.</w:t>
      </w:r>
      <w:r w:rsidRPr="00123AFE">
        <w:rPr>
          <w:rFonts w:ascii="Calibri" w:hAnsi="Calibri" w:cs="Calibri"/>
          <w:i/>
          <w:color w:val="000000"/>
          <w:sz w:val="20"/>
          <w:shd w:val="clear" w:color="auto" w:fill="FFFFFF"/>
        </w:rPr>
        <w:t xml:space="preserve">(TJSP;  Direta de Inconstitucionalidade 2023457-61.2022.8.26.0000; Relator (a): James Siano; Órgão Julgador: Órgão Especial; Tribunal de Justiça de São Paulo - N/A; Data do </w:t>
      </w:r>
      <w:r w:rsidRPr="00123AFE">
        <w:rPr>
          <w:rFonts w:ascii="Calibri" w:hAnsi="Calibri" w:cs="Calibri"/>
          <w:b/>
          <w:i/>
          <w:color w:val="000000"/>
          <w:sz w:val="20"/>
          <w:shd w:val="clear" w:color="auto" w:fill="FFFFFF"/>
        </w:rPr>
        <w:t>Julgamento: 08/02/2023; Data de Registro: 09/02/2023</w:t>
      </w:r>
      <w:r w:rsidRPr="00123AFE">
        <w:rPr>
          <w:rFonts w:ascii="Calibri" w:hAnsi="Calibri" w:cs="Calibri"/>
          <w:i/>
          <w:color w:val="000000"/>
          <w:sz w:val="20"/>
          <w:shd w:val="clear" w:color="auto" w:fill="FFFFFF"/>
        </w:rPr>
        <w:t>)</w:t>
      </w:r>
    </w:p>
    <w:p w:rsidR="00123AFE" w:rsidRPr="00123AFE" w:rsidP="00732084">
      <w:pPr>
        <w:pStyle w:val="BodyText"/>
        <w:spacing w:line="276" w:lineRule="auto"/>
        <w:ind w:left="2835"/>
        <w:jc w:val="both"/>
        <w:rPr>
          <w:rFonts w:ascii="Calibri" w:hAnsi="Calibri" w:cs="Calibri"/>
          <w:i/>
          <w:color w:val="000000"/>
          <w:sz w:val="12"/>
          <w:szCs w:val="12"/>
          <w:shd w:val="clear" w:color="auto" w:fill="FFFFFF"/>
        </w:rPr>
      </w:pPr>
    </w:p>
    <w:p w:rsidR="008D4473" w:rsidRPr="0045680E" w:rsidP="008D447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No mesmo sentido</w:t>
      </w:r>
      <w:r w:rsidRPr="0045680E">
        <w:rPr>
          <w:rFonts w:asciiTheme="minorHAnsi" w:hAnsiTheme="minorHAnsi" w:cstheme="minorHAnsi"/>
          <w:szCs w:val="24"/>
        </w:rPr>
        <w:t xml:space="preserve">, </w:t>
      </w:r>
      <w:r>
        <w:rPr>
          <w:rFonts w:asciiTheme="minorHAnsi" w:hAnsiTheme="minorHAnsi" w:cstheme="minorHAnsi"/>
          <w:szCs w:val="24"/>
        </w:rPr>
        <w:t>colacionamos recente</w:t>
      </w:r>
      <w:r w:rsidRPr="0045680E">
        <w:rPr>
          <w:rFonts w:asciiTheme="minorHAnsi" w:hAnsiTheme="minorHAnsi" w:cstheme="minorHAnsi"/>
          <w:szCs w:val="24"/>
        </w:rPr>
        <w:t xml:space="preserve"> decisão da Corte Bandeirante</w:t>
      </w:r>
      <w:r>
        <w:rPr>
          <w:rFonts w:asciiTheme="minorHAnsi" w:hAnsiTheme="minorHAnsi" w:cstheme="minorHAnsi"/>
          <w:szCs w:val="24"/>
        </w:rPr>
        <w:t xml:space="preserve"> em sede de agravo de instrumento:</w:t>
      </w:r>
    </w:p>
    <w:p w:rsidR="003F0DCB" w:rsidRPr="0045680E" w:rsidP="00123AFE">
      <w:pPr>
        <w:pStyle w:val="BodyText"/>
        <w:spacing w:after="80" w:line="276" w:lineRule="auto"/>
        <w:ind w:left="2268"/>
        <w:jc w:val="both"/>
        <w:rPr>
          <w:rFonts w:asciiTheme="minorHAnsi" w:hAnsiTheme="minorHAnsi" w:cstheme="minorHAnsi"/>
          <w:i/>
          <w:sz w:val="22"/>
          <w:szCs w:val="22"/>
        </w:rPr>
      </w:pPr>
      <w:r w:rsidRPr="0045680E">
        <w:rPr>
          <w:rFonts w:asciiTheme="minorHAnsi" w:hAnsiTheme="minorHAnsi" w:cstheme="minorHAnsi"/>
          <w:i/>
          <w:sz w:val="22"/>
          <w:szCs w:val="22"/>
        </w:rPr>
        <w:t xml:space="preserve"> </w:t>
      </w:r>
      <w:r w:rsidRPr="0045680E">
        <w:rPr>
          <w:rFonts w:asciiTheme="minorHAnsi" w:hAnsiTheme="minorHAnsi" w:cstheme="minorHAnsi"/>
          <w:i/>
          <w:sz w:val="22"/>
          <w:szCs w:val="22"/>
        </w:rPr>
        <w:t>“</w:t>
      </w:r>
      <w:r w:rsidRPr="0045680E" w:rsidR="002447C9">
        <w:rPr>
          <w:rFonts w:asciiTheme="minorHAnsi" w:hAnsiTheme="minorHAnsi" w:cstheme="minorHAnsi"/>
          <w:i/>
          <w:sz w:val="22"/>
          <w:szCs w:val="22"/>
        </w:rPr>
        <w:t xml:space="preserve">Da análise dos documentos, verifico a relevância dos fundamentos invocados e o perigo de ineficácia da medida. </w:t>
      </w:r>
    </w:p>
    <w:p w:rsidR="003F0DCB" w:rsidRPr="0045680E" w:rsidP="00123AFE">
      <w:pPr>
        <w:pStyle w:val="BodyText"/>
        <w:spacing w:after="80" w:line="276" w:lineRule="auto"/>
        <w:ind w:left="2268"/>
        <w:jc w:val="both"/>
        <w:rPr>
          <w:rFonts w:asciiTheme="minorHAnsi" w:hAnsiTheme="minorHAnsi" w:cstheme="minorHAnsi"/>
          <w:i/>
          <w:sz w:val="22"/>
          <w:szCs w:val="22"/>
        </w:rPr>
      </w:pPr>
      <w:r w:rsidRPr="0045680E">
        <w:rPr>
          <w:rFonts w:asciiTheme="minorHAnsi" w:hAnsiTheme="minorHAnsi" w:cstheme="minorHAnsi"/>
          <w:i/>
          <w:sz w:val="22"/>
          <w:szCs w:val="22"/>
        </w:rPr>
        <w:t xml:space="preserve">O agravante participa do concurso público para o provimento de vagas para o cargo de Guarda Civil Metropolitano, do quadro de pessoal da Secretaria Municipal de Segurança Urbana da Cidade de São Paulo, foi aprovado em 6º lugar na lista de candidatos com deficiência, porém, foi eliminado por contar com 38 anos de idade, acima da idade limite prevista no edital. </w:t>
      </w:r>
    </w:p>
    <w:p w:rsidR="003F0DCB" w:rsidRPr="00123AFE" w:rsidP="00123AFE">
      <w:pPr>
        <w:pStyle w:val="BodyText"/>
        <w:spacing w:after="80" w:line="276" w:lineRule="auto"/>
        <w:ind w:left="2268"/>
        <w:jc w:val="both"/>
        <w:rPr>
          <w:rFonts w:asciiTheme="minorHAnsi" w:hAnsiTheme="minorHAnsi" w:cstheme="minorHAnsi"/>
          <w:i/>
          <w:sz w:val="22"/>
          <w:szCs w:val="22"/>
        </w:rPr>
      </w:pPr>
      <w:r w:rsidRPr="00123AFE">
        <w:rPr>
          <w:rFonts w:asciiTheme="minorHAnsi" w:hAnsiTheme="minorHAnsi" w:cstheme="minorHAnsi"/>
          <w:i/>
          <w:sz w:val="22"/>
          <w:szCs w:val="22"/>
        </w:rPr>
        <w:t xml:space="preserve">Como bem apontado na inicial, nos termos da Súmula 683 do STF, “O limite de idade para a inscrição em concurso público só se legitima em face do art. 7º,XXX, da Constituição, quando possa ser justificado pela natureza das atribuições do cargo a ser preenchido.”. </w:t>
      </w:r>
    </w:p>
    <w:p w:rsidR="003F0DCB" w:rsidRPr="00123AFE" w:rsidP="00123AFE">
      <w:pPr>
        <w:pStyle w:val="BodyText"/>
        <w:spacing w:after="80" w:line="276" w:lineRule="auto"/>
        <w:ind w:left="2268"/>
        <w:jc w:val="both"/>
        <w:rPr>
          <w:rFonts w:asciiTheme="minorHAnsi" w:hAnsiTheme="minorHAnsi" w:cstheme="minorHAnsi"/>
          <w:i/>
          <w:sz w:val="22"/>
          <w:szCs w:val="22"/>
        </w:rPr>
      </w:pPr>
      <w:r w:rsidRPr="00123AFE">
        <w:rPr>
          <w:rFonts w:asciiTheme="minorHAnsi" w:hAnsiTheme="minorHAnsi" w:cstheme="minorHAnsi"/>
          <w:i/>
          <w:sz w:val="22"/>
          <w:szCs w:val="22"/>
        </w:rPr>
        <w:t xml:space="preserve">No caso, o limite de idade, além de não estar previsto </w:t>
      </w:r>
      <w:r w:rsidRPr="00123AFE" w:rsidR="008D4473">
        <w:rPr>
          <w:rFonts w:asciiTheme="minorHAnsi" w:hAnsiTheme="minorHAnsi" w:cstheme="minorHAnsi"/>
          <w:i/>
          <w:sz w:val="22"/>
          <w:szCs w:val="22"/>
        </w:rPr>
        <w:t>n</w:t>
      </w:r>
      <w:r w:rsidRPr="00123AFE">
        <w:rPr>
          <w:rFonts w:asciiTheme="minorHAnsi" w:hAnsiTheme="minorHAnsi" w:cstheme="minorHAnsi"/>
          <w:i/>
          <w:sz w:val="22"/>
          <w:szCs w:val="22"/>
        </w:rPr>
        <w:t xml:space="preserve">o Estatuto Geral das Guardas Municipais (Lei nº 13.022/14) não guarda consonância com o cargo a ser exercido, cujo desempenho não exige grande esforço físico. </w:t>
      </w:r>
    </w:p>
    <w:p w:rsidR="003F0DCB" w:rsidRPr="0045680E" w:rsidP="00A44F53">
      <w:pPr>
        <w:pStyle w:val="BodyText"/>
        <w:spacing w:after="0" w:line="276" w:lineRule="auto"/>
        <w:ind w:left="2268"/>
        <w:jc w:val="both"/>
        <w:rPr>
          <w:rFonts w:asciiTheme="minorHAnsi" w:hAnsiTheme="minorHAnsi" w:cstheme="minorHAnsi"/>
          <w:i/>
          <w:sz w:val="22"/>
          <w:szCs w:val="22"/>
        </w:rPr>
      </w:pPr>
      <w:r w:rsidRPr="0045680E">
        <w:rPr>
          <w:rFonts w:asciiTheme="minorHAnsi" w:hAnsiTheme="minorHAnsi" w:cstheme="minorHAnsi"/>
          <w:i/>
          <w:sz w:val="22"/>
          <w:szCs w:val="22"/>
        </w:rPr>
        <w:t xml:space="preserve">Sendo assim, </w:t>
      </w:r>
      <w:r w:rsidRPr="0045680E">
        <w:rPr>
          <w:rFonts w:asciiTheme="minorHAnsi" w:hAnsiTheme="minorHAnsi" w:cstheme="minorHAnsi"/>
          <w:b/>
          <w:i/>
          <w:sz w:val="22"/>
          <w:szCs w:val="22"/>
        </w:rPr>
        <w:t>defiro a tutela e determino às agravadas que se abstenham de promover a eliminação do autor do certame com base no limite de idade máxima de 35 (trinta e cinco) anos, ou, caso, já o tenha feito, suspenda o respectivo ato,</w:t>
      </w:r>
      <w:r w:rsidRPr="0045680E">
        <w:rPr>
          <w:rFonts w:asciiTheme="minorHAnsi" w:hAnsiTheme="minorHAnsi" w:cstheme="minorHAnsi"/>
          <w:i/>
          <w:sz w:val="22"/>
          <w:szCs w:val="22"/>
        </w:rPr>
        <w:t xml:space="preserve"> garantindo-lhe o direito, em</w:t>
      </w:r>
      <w:r w:rsidRPr="0045680E">
        <w:rPr>
          <w:rFonts w:asciiTheme="minorHAnsi" w:hAnsiTheme="minorHAnsi" w:cstheme="minorHAnsi"/>
          <w:i/>
          <w:sz w:val="22"/>
          <w:szCs w:val="22"/>
        </w:rPr>
        <w:t xml:space="preserve"> </w:t>
      </w:r>
      <w:r w:rsidRPr="0045680E">
        <w:rPr>
          <w:rFonts w:asciiTheme="minorHAnsi" w:hAnsiTheme="minorHAnsi" w:cstheme="minorHAnsi"/>
          <w:i/>
          <w:sz w:val="22"/>
          <w:szCs w:val="22"/>
        </w:rPr>
        <w:t xml:space="preserve">qualquer dos casos, de nomeação, posse e o exercício no cargo público pretendido, no prazo de 48 horas, sob pena de multa diária de R$ 1.000,00. </w:t>
      </w:r>
    </w:p>
    <w:p w:rsidR="008D4473" w:rsidRPr="0045680E" w:rsidP="00A44F53">
      <w:pPr>
        <w:pStyle w:val="BodyText"/>
        <w:spacing w:after="0"/>
        <w:ind w:left="2268"/>
        <w:jc w:val="both"/>
        <w:rPr>
          <w:rFonts w:asciiTheme="minorHAnsi" w:hAnsiTheme="minorHAnsi" w:cstheme="minorHAnsi"/>
          <w:i/>
          <w:sz w:val="22"/>
          <w:szCs w:val="22"/>
        </w:rPr>
      </w:pPr>
      <w:r w:rsidRPr="0045680E">
        <w:rPr>
          <w:rFonts w:asciiTheme="minorHAnsi" w:hAnsiTheme="minorHAnsi" w:cstheme="minorHAnsi"/>
          <w:i/>
          <w:sz w:val="22"/>
          <w:szCs w:val="22"/>
        </w:rPr>
        <w:t>(...)</w:t>
      </w:r>
    </w:p>
    <w:p w:rsidR="008D4473" w:rsidRPr="00123AFE" w:rsidP="00A44F53">
      <w:pPr>
        <w:pStyle w:val="BodyText"/>
        <w:spacing w:before="240" w:after="0"/>
        <w:ind w:left="2268"/>
        <w:jc w:val="both"/>
        <w:rPr>
          <w:rFonts w:asciiTheme="minorHAnsi" w:hAnsiTheme="minorHAnsi" w:cstheme="minorHAnsi"/>
          <w:i/>
          <w:color w:val="FF0000"/>
          <w:sz w:val="20"/>
        </w:rPr>
      </w:pPr>
      <w:r w:rsidRPr="00123AFE">
        <w:rPr>
          <w:rFonts w:asciiTheme="minorHAnsi" w:hAnsiTheme="minorHAnsi" w:cstheme="minorHAnsi"/>
          <w:i/>
          <w:sz w:val="20"/>
        </w:rPr>
        <w:t xml:space="preserve">(Agravo de Instrumento. Processo nº 0100027-54.2023.8.26.9000. Data da decisão: </w:t>
      </w:r>
      <w:r w:rsidRPr="00123AFE">
        <w:rPr>
          <w:rFonts w:asciiTheme="minorHAnsi" w:hAnsiTheme="minorHAnsi" w:cstheme="minorHAnsi"/>
          <w:b/>
          <w:i/>
          <w:sz w:val="20"/>
        </w:rPr>
        <w:t>13/03/2023</w:t>
      </w:r>
      <w:r w:rsidRPr="00123AFE">
        <w:rPr>
          <w:rFonts w:asciiTheme="minorHAnsi" w:hAnsiTheme="minorHAnsi" w:cstheme="minorHAnsi"/>
          <w:i/>
          <w:sz w:val="20"/>
        </w:rPr>
        <w:t>)</w:t>
      </w:r>
      <w:r w:rsidRPr="00123AFE" w:rsidR="00123AFE">
        <w:rPr>
          <w:rFonts w:asciiTheme="minorHAnsi" w:hAnsiTheme="minorHAnsi" w:cstheme="minorHAnsi"/>
          <w:i/>
          <w:sz w:val="20"/>
        </w:rPr>
        <w:t>.</w:t>
      </w:r>
    </w:p>
    <w:p w:rsidR="00E12470" w:rsidP="00123AFE">
      <w:pPr>
        <w:pStyle w:val="BodyText"/>
        <w:spacing w:after="0" w:line="360" w:lineRule="auto"/>
        <w:ind w:firstLine="1701"/>
        <w:jc w:val="both"/>
        <w:rPr>
          <w:rFonts w:asciiTheme="minorHAnsi" w:hAnsiTheme="minorHAnsi" w:cstheme="minorHAnsi"/>
          <w:szCs w:val="24"/>
        </w:rPr>
      </w:pPr>
    </w:p>
    <w:p w:rsidR="00123AFE" w:rsidP="00E1247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Já o protocol</w:t>
      </w:r>
      <w:r w:rsidR="00561335">
        <w:rPr>
          <w:rFonts w:asciiTheme="minorHAnsi" w:hAnsiTheme="minorHAnsi" w:cstheme="minorHAnsi"/>
          <w:szCs w:val="24"/>
        </w:rPr>
        <w:t xml:space="preserve">o nº 0078/2023 (páginas 135/136), assinado pelo Diretor de Departamento de Coordenação Operacional da Secretaria de Segurança </w:t>
      </w:r>
      <w:r w:rsidR="002D1EEB">
        <w:rPr>
          <w:rFonts w:asciiTheme="minorHAnsi" w:hAnsiTheme="minorHAnsi" w:cstheme="minorHAnsi"/>
          <w:szCs w:val="24"/>
        </w:rPr>
        <w:t>Pública e Cidadania, refere-se à</w:t>
      </w:r>
      <w:r w:rsidR="00561335">
        <w:rPr>
          <w:rFonts w:asciiTheme="minorHAnsi" w:hAnsiTheme="minorHAnsi" w:cstheme="minorHAnsi"/>
          <w:szCs w:val="24"/>
        </w:rPr>
        <w:t xml:space="preserve"> recomenda</w:t>
      </w:r>
      <w:r w:rsidR="002D1EEB">
        <w:rPr>
          <w:rFonts w:asciiTheme="minorHAnsi" w:hAnsiTheme="minorHAnsi" w:cstheme="minorHAnsi"/>
          <w:szCs w:val="24"/>
        </w:rPr>
        <w:t xml:space="preserve">ção de fixação de percentual mínimo </w:t>
      </w:r>
      <w:r w:rsidRPr="002D1EEB" w:rsidR="002D1EEB">
        <w:rPr>
          <w:rFonts w:asciiTheme="minorHAnsi" w:hAnsiTheme="minorHAnsi" w:cstheme="minorHAnsi"/>
          <w:szCs w:val="24"/>
        </w:rPr>
        <w:t xml:space="preserve">dos cargos em todos os níveis da carreira da guarda municipal </w:t>
      </w:r>
      <w:r w:rsidR="002D1EEB">
        <w:rPr>
          <w:rFonts w:asciiTheme="minorHAnsi" w:hAnsiTheme="minorHAnsi" w:cstheme="minorHAnsi"/>
          <w:szCs w:val="24"/>
        </w:rPr>
        <w:t>para o sexo feminino, vejamos trecho do parecer:</w:t>
      </w:r>
    </w:p>
    <w:p w:rsidR="00E12470" w:rsidRPr="00561335" w:rsidP="001A267F">
      <w:pPr>
        <w:pStyle w:val="BodyText"/>
        <w:spacing w:after="240" w:line="276" w:lineRule="auto"/>
        <w:ind w:left="2268"/>
        <w:jc w:val="both"/>
        <w:rPr>
          <w:rFonts w:asciiTheme="minorHAnsi" w:hAnsiTheme="minorHAnsi" w:cstheme="minorHAnsi"/>
          <w:i/>
          <w:sz w:val="22"/>
          <w:szCs w:val="22"/>
        </w:rPr>
      </w:pPr>
      <w:r w:rsidRPr="00561335">
        <w:rPr>
          <w:rFonts w:asciiTheme="minorHAnsi" w:hAnsiTheme="minorHAnsi" w:cstheme="minorHAnsi"/>
          <w:i/>
          <w:sz w:val="22"/>
          <w:szCs w:val="22"/>
        </w:rPr>
        <w:t xml:space="preserve">Dentre as prerrogativas das Guardas Municipais o Estatuto Geral, no art. 15, estabelece: </w:t>
      </w:r>
    </w:p>
    <w:p w:rsidR="00E12470" w:rsidRPr="00561335" w:rsidP="00212277">
      <w:pPr>
        <w:pStyle w:val="BodyText"/>
        <w:spacing w:line="288" w:lineRule="auto"/>
        <w:ind w:left="2552"/>
        <w:jc w:val="both"/>
        <w:rPr>
          <w:rFonts w:asciiTheme="minorHAnsi" w:hAnsiTheme="minorHAnsi" w:cstheme="minorHAnsi"/>
          <w:i/>
          <w:sz w:val="22"/>
          <w:szCs w:val="22"/>
        </w:rPr>
      </w:pPr>
      <w:r w:rsidRPr="00561335">
        <w:rPr>
          <w:rFonts w:asciiTheme="minorHAnsi" w:hAnsiTheme="minorHAnsi" w:cstheme="minorHAnsi"/>
          <w:i/>
          <w:sz w:val="22"/>
          <w:szCs w:val="22"/>
        </w:rPr>
        <w:t xml:space="preserve">Art. 15. </w:t>
      </w:r>
      <w:r w:rsidRPr="00561335">
        <w:rPr>
          <w:rFonts w:asciiTheme="minorHAnsi" w:hAnsiTheme="minorHAnsi" w:cstheme="minorHAnsi"/>
          <w:b/>
          <w:i/>
          <w:sz w:val="22"/>
          <w:szCs w:val="22"/>
        </w:rPr>
        <w:t>Os cargos em comissão das guardas municipais deverão ser providos por membros efetivos</w:t>
      </w:r>
      <w:r w:rsidRPr="00561335">
        <w:rPr>
          <w:rFonts w:asciiTheme="minorHAnsi" w:hAnsiTheme="minorHAnsi" w:cstheme="minorHAnsi"/>
          <w:i/>
          <w:sz w:val="22"/>
          <w:szCs w:val="22"/>
        </w:rPr>
        <w:t xml:space="preserve"> do quadro de carreira do órgão ou entidade.</w:t>
      </w:r>
    </w:p>
    <w:p w:rsidR="00E12470" w:rsidRPr="00561335" w:rsidP="00212277">
      <w:pPr>
        <w:pStyle w:val="BodyText"/>
        <w:spacing w:line="288" w:lineRule="auto"/>
        <w:ind w:left="2552"/>
        <w:jc w:val="both"/>
        <w:rPr>
          <w:rFonts w:asciiTheme="minorHAnsi" w:hAnsiTheme="minorHAnsi" w:cstheme="minorHAnsi"/>
          <w:i/>
          <w:sz w:val="22"/>
          <w:szCs w:val="22"/>
        </w:rPr>
      </w:pPr>
      <w:r w:rsidRPr="00561335">
        <w:rPr>
          <w:rFonts w:asciiTheme="minorHAnsi" w:hAnsiTheme="minorHAnsi" w:cstheme="minorHAnsi"/>
          <w:i/>
          <w:sz w:val="22"/>
          <w:szCs w:val="22"/>
        </w:rPr>
        <w:t>(...)</w:t>
      </w:r>
    </w:p>
    <w:p w:rsidR="00E12470" w:rsidRPr="00561335" w:rsidP="00212277">
      <w:pPr>
        <w:pStyle w:val="BodyText"/>
        <w:spacing w:line="288" w:lineRule="auto"/>
        <w:ind w:left="2552"/>
        <w:jc w:val="both"/>
        <w:rPr>
          <w:rFonts w:asciiTheme="minorHAnsi" w:hAnsiTheme="minorHAnsi" w:cstheme="minorHAnsi"/>
          <w:b/>
          <w:i/>
          <w:sz w:val="22"/>
          <w:szCs w:val="22"/>
        </w:rPr>
      </w:pPr>
      <w:r w:rsidRPr="00561335">
        <w:rPr>
          <w:rFonts w:asciiTheme="minorHAnsi" w:hAnsiTheme="minorHAnsi" w:cstheme="minorHAnsi"/>
          <w:b/>
          <w:i/>
          <w:sz w:val="22"/>
          <w:szCs w:val="22"/>
        </w:rPr>
        <w:t>§ 2º Para ocupação dos cargos em todos os níveis da carreira da guarda municipal</w:t>
      </w:r>
      <w:r w:rsidRPr="00561335">
        <w:rPr>
          <w:rFonts w:asciiTheme="minorHAnsi" w:hAnsiTheme="minorHAnsi" w:cstheme="minorHAnsi"/>
          <w:i/>
          <w:sz w:val="22"/>
          <w:szCs w:val="22"/>
        </w:rPr>
        <w:t xml:space="preserve">, </w:t>
      </w:r>
      <w:r w:rsidRPr="00561335">
        <w:rPr>
          <w:rFonts w:asciiTheme="minorHAnsi" w:hAnsiTheme="minorHAnsi" w:cstheme="minorHAnsi"/>
          <w:b/>
          <w:i/>
          <w:sz w:val="22"/>
          <w:szCs w:val="22"/>
        </w:rPr>
        <w:t xml:space="preserve">deverá ser observado o percentual mínimo para o sexo feminino, </w:t>
      </w:r>
      <w:r w:rsidRPr="00561335">
        <w:rPr>
          <w:rFonts w:asciiTheme="minorHAnsi" w:hAnsiTheme="minorHAnsi" w:cstheme="minorHAnsi"/>
          <w:b/>
          <w:i/>
          <w:sz w:val="22"/>
          <w:szCs w:val="22"/>
          <w:u w:val="single"/>
        </w:rPr>
        <w:t>definido em lei municipal.</w:t>
      </w:r>
      <w:r w:rsidRPr="00561335">
        <w:rPr>
          <w:rFonts w:asciiTheme="minorHAnsi" w:hAnsiTheme="minorHAnsi" w:cstheme="minorHAnsi"/>
          <w:b/>
          <w:i/>
          <w:sz w:val="22"/>
          <w:szCs w:val="22"/>
        </w:rPr>
        <w:t xml:space="preserve"> </w:t>
      </w:r>
    </w:p>
    <w:p w:rsidR="00E12470" w:rsidRPr="00561335" w:rsidP="00212277">
      <w:pPr>
        <w:pStyle w:val="BodyText"/>
        <w:spacing w:line="288" w:lineRule="auto"/>
        <w:ind w:left="2552"/>
        <w:jc w:val="both"/>
        <w:rPr>
          <w:rFonts w:asciiTheme="minorHAnsi" w:hAnsiTheme="minorHAnsi" w:cstheme="minorHAnsi"/>
          <w:i/>
          <w:sz w:val="22"/>
          <w:szCs w:val="22"/>
        </w:rPr>
      </w:pPr>
      <w:r w:rsidRPr="00561335">
        <w:rPr>
          <w:rFonts w:asciiTheme="minorHAnsi" w:hAnsiTheme="minorHAnsi" w:cstheme="minorHAnsi"/>
          <w:i/>
          <w:sz w:val="22"/>
          <w:szCs w:val="22"/>
        </w:rPr>
        <w:t>§ 3º Deverá ser garantida a progressão funcional da carreira em todos os níveis.</w:t>
      </w:r>
    </w:p>
    <w:p w:rsidR="00E12470" w:rsidRPr="00561335" w:rsidP="00212277">
      <w:pPr>
        <w:pStyle w:val="BodyText"/>
        <w:spacing w:line="288" w:lineRule="auto"/>
        <w:ind w:left="2552"/>
        <w:jc w:val="both"/>
        <w:rPr>
          <w:rFonts w:asciiTheme="minorHAnsi" w:hAnsiTheme="minorHAnsi" w:cstheme="minorHAnsi"/>
          <w:i/>
          <w:sz w:val="22"/>
          <w:szCs w:val="22"/>
        </w:rPr>
      </w:pPr>
      <w:r w:rsidRPr="00561335">
        <w:rPr>
          <w:rFonts w:asciiTheme="minorHAnsi" w:hAnsiTheme="minorHAnsi" w:cstheme="minorHAnsi"/>
          <w:i/>
          <w:sz w:val="22"/>
          <w:szCs w:val="22"/>
        </w:rPr>
        <w:t>(...)</w:t>
      </w:r>
    </w:p>
    <w:p w:rsidR="00E12470" w:rsidP="00212277">
      <w:pPr>
        <w:pStyle w:val="BodyText"/>
        <w:spacing w:after="240" w:line="276" w:lineRule="auto"/>
        <w:ind w:left="2268"/>
        <w:jc w:val="both"/>
        <w:rPr>
          <w:rFonts w:asciiTheme="minorHAnsi" w:hAnsiTheme="minorHAnsi" w:cstheme="minorHAnsi"/>
          <w:b/>
          <w:i/>
          <w:sz w:val="22"/>
          <w:szCs w:val="22"/>
        </w:rPr>
      </w:pPr>
      <w:r w:rsidRPr="00561335">
        <w:rPr>
          <w:rFonts w:asciiTheme="minorHAnsi" w:hAnsiTheme="minorHAnsi" w:cstheme="minorHAnsi"/>
          <w:i/>
          <w:sz w:val="22"/>
          <w:szCs w:val="22"/>
        </w:rPr>
        <w:t xml:space="preserve">Todavia, em relação ao §2º do art. 15 supracitado observamos que o projeto em comento </w:t>
      </w:r>
      <w:r w:rsidRPr="00561335">
        <w:rPr>
          <w:rFonts w:asciiTheme="minorHAnsi" w:hAnsiTheme="minorHAnsi" w:cstheme="minorHAnsi"/>
          <w:i/>
          <w:sz w:val="22"/>
          <w:szCs w:val="22"/>
          <w:u w:val="single"/>
        </w:rPr>
        <w:t>não</w:t>
      </w:r>
      <w:r w:rsidRPr="00561335">
        <w:rPr>
          <w:rFonts w:asciiTheme="minorHAnsi" w:hAnsiTheme="minorHAnsi" w:cstheme="minorHAnsi"/>
          <w:i/>
          <w:sz w:val="22"/>
          <w:szCs w:val="22"/>
        </w:rPr>
        <w:t xml:space="preserve"> estabelece o referido percentual. Deste modo, visando o atendimento da lei federal de regência</w:t>
      </w:r>
      <w:r w:rsidRPr="00561335">
        <w:rPr>
          <w:rFonts w:asciiTheme="minorHAnsi" w:hAnsiTheme="minorHAnsi" w:cstheme="minorHAnsi"/>
          <w:b/>
          <w:i/>
          <w:sz w:val="22"/>
          <w:szCs w:val="22"/>
        </w:rPr>
        <w:t xml:space="preserve"> recomendamos a fixação de percentual mínimo para o sexo feminino a ser observado para ocupação dos cargos em todos os níveis da carreira da guarda municipal.</w:t>
      </w:r>
    </w:p>
    <w:p w:rsidR="00542732" w:rsidP="00212277">
      <w:pPr>
        <w:pStyle w:val="BodyText"/>
        <w:spacing w:after="240" w:line="276"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542732" w:rsidP="003F6A77">
      <w:pPr>
        <w:pStyle w:val="corpodapea"/>
        <w:spacing w:before="0" w:beforeAutospacing="0" w:after="120" w:afterAutospacing="0" w:line="360" w:lineRule="auto"/>
        <w:ind w:firstLine="1701"/>
        <w:jc w:val="both"/>
        <w:rPr>
          <w:rFonts w:ascii="Calibri" w:hAnsi="Calibri" w:cs="Calibri"/>
          <w:i/>
        </w:rPr>
      </w:pPr>
      <w:r>
        <w:rPr>
          <w:rFonts w:ascii="Calibri" w:hAnsi="Calibri" w:cs="Calibri"/>
        </w:rPr>
        <w:t>Nesse particular</w:t>
      </w:r>
      <w:r w:rsidR="009823C1">
        <w:rPr>
          <w:rFonts w:ascii="Calibri" w:hAnsi="Calibri" w:cs="Calibri"/>
        </w:rPr>
        <w:t>,</w:t>
      </w:r>
      <w:r w:rsidR="000800F6">
        <w:rPr>
          <w:rFonts w:ascii="Calibri" w:hAnsi="Calibri" w:cs="Calibri"/>
        </w:rPr>
        <w:t xml:space="preserve"> o protocol</w:t>
      </w:r>
      <w:bookmarkStart w:id="0" w:name="_GoBack"/>
      <w:bookmarkEnd w:id="0"/>
      <w:r w:rsidR="00212277">
        <w:rPr>
          <w:rFonts w:ascii="Calibri" w:hAnsi="Calibri" w:cs="Calibri"/>
        </w:rPr>
        <w:t xml:space="preserve">o nº 0078/2023 argumenta que </w:t>
      </w:r>
      <w:r w:rsidR="002F6B75">
        <w:rPr>
          <w:rFonts w:ascii="Calibri" w:hAnsi="Calibri" w:cs="Calibri"/>
          <w:i/>
        </w:rPr>
        <w:t>“Referente</w:t>
      </w:r>
      <w:r w:rsidRPr="00542732" w:rsidR="00212277">
        <w:rPr>
          <w:rFonts w:ascii="Calibri" w:hAnsi="Calibri" w:cs="Calibri"/>
          <w:i/>
        </w:rPr>
        <w:t xml:space="preserve"> a restrição de vagas por meio de um percentual mínimo de dez por cento das vagas reservadas para as mulheres, o que não encontra respaldo na nossa Carta Magna, pois a partir da vigência da Lei 12.086 de 2009, não há razão para</w:t>
      </w:r>
      <w:r>
        <w:rPr>
          <w:rFonts w:ascii="Calibri" w:hAnsi="Calibri" w:cs="Calibri"/>
          <w:i/>
        </w:rPr>
        <w:t xml:space="preserve"> tal restrição, dado que a lei vigente não elenca, no seu conteúdo, distinção de vagas</w:t>
      </w:r>
      <w:r w:rsidRPr="00542732" w:rsidR="00212277">
        <w:rPr>
          <w:rFonts w:ascii="Calibri" w:hAnsi="Calibri" w:cs="Calibri"/>
          <w:i/>
        </w:rPr>
        <w:t>”</w:t>
      </w:r>
      <w:r>
        <w:rPr>
          <w:rFonts w:ascii="Calibri" w:hAnsi="Calibri" w:cs="Calibri"/>
          <w:i/>
        </w:rPr>
        <w:t>.</w:t>
      </w:r>
    </w:p>
    <w:p w:rsidR="00B11FC4" w:rsidP="003F6A77">
      <w:pPr>
        <w:pStyle w:val="corpodapea"/>
        <w:spacing w:before="0" w:beforeAutospacing="0" w:after="120" w:afterAutospacing="0" w:line="360" w:lineRule="auto"/>
        <w:ind w:firstLine="1701"/>
        <w:jc w:val="both"/>
        <w:rPr>
          <w:rFonts w:ascii="Calibri" w:hAnsi="Calibri" w:cs="Calibri"/>
        </w:rPr>
      </w:pPr>
      <w:r>
        <w:rPr>
          <w:rFonts w:ascii="Calibri" w:hAnsi="Calibri" w:cs="Calibri"/>
        </w:rPr>
        <w:t>Com</w:t>
      </w:r>
      <w:r>
        <w:rPr>
          <w:rFonts w:ascii="Calibri" w:hAnsi="Calibri" w:cs="Calibri"/>
        </w:rPr>
        <w:t xml:space="preserve"> a devida vênia, a referida</w:t>
      </w:r>
      <w:r>
        <w:rPr>
          <w:rFonts w:ascii="Calibri" w:hAnsi="Calibri" w:cs="Calibri"/>
        </w:rPr>
        <w:t xml:space="preserve"> </w:t>
      </w:r>
      <w:r w:rsidRPr="00B11FC4">
        <w:rPr>
          <w:rFonts w:ascii="Calibri" w:hAnsi="Calibri" w:cs="Calibri"/>
        </w:rPr>
        <w:t>Lei 12.086</w:t>
      </w:r>
      <w:r>
        <w:rPr>
          <w:rFonts w:ascii="Calibri" w:hAnsi="Calibri" w:cs="Calibri"/>
        </w:rPr>
        <w:t>/</w:t>
      </w:r>
      <w:r w:rsidRPr="00B11FC4">
        <w:rPr>
          <w:rFonts w:ascii="Calibri" w:hAnsi="Calibri" w:cs="Calibri"/>
        </w:rPr>
        <w:t>2009</w:t>
      </w:r>
      <w:r>
        <w:rPr>
          <w:rFonts w:ascii="Calibri" w:hAnsi="Calibri" w:cs="Calibri"/>
        </w:rPr>
        <w:t xml:space="preserve"> </w:t>
      </w:r>
      <w:r w:rsidRPr="00B11FC4">
        <w:rPr>
          <w:rFonts w:ascii="Calibri" w:hAnsi="Calibri" w:cs="Calibri"/>
          <w:i/>
        </w:rPr>
        <w:t>“Dispõe sobre os militares da Polícia Militar do Distrito Federal e do Corpo de Bombeiros Militar do Distrito Federal; altera as Leis nos 6.450, de 14 de outubro de 1977, 7.289, de 18 de dezembro de 1984, 7.479, de 2 de junho de 1986, 8.255, de 20 de novembro de 1991, e 10.486, de 4 de julho de 2002; revoga as Leis nos 6.302, de 15 de dezembro de 1975, 6.645, de 14 de maio de 1979, 7.491, de 13 de junho de 1986, 7.687, de 13 de dezembro de 1988, 7.851, de 23 de outubro de 1989, 8.204, de 8 de julho de 1991, 8.258, de 6 de dezembro de 1991, 9.054, de 29 de maio de 1995, e 9.237, de 22 de dezembro de 1995; revoga dispositivos das Leis nos 7.457, de 9 de abril de 1986, 9.713, de 25 de novembro de 1998, e 11.134, de 15 de julho de 2005; e dá outras providências</w:t>
      </w:r>
      <w:r>
        <w:rPr>
          <w:rFonts w:ascii="Calibri" w:hAnsi="Calibri" w:cs="Calibri"/>
        </w:rPr>
        <w:t xml:space="preserve">”, </w:t>
      </w:r>
      <w:r w:rsidR="002F6B75">
        <w:rPr>
          <w:rFonts w:ascii="Calibri" w:hAnsi="Calibri" w:cs="Calibri"/>
        </w:rPr>
        <w:t>todavia</w:t>
      </w:r>
      <w:r>
        <w:rPr>
          <w:rFonts w:ascii="Calibri" w:hAnsi="Calibri" w:cs="Calibri"/>
        </w:rPr>
        <w:t>, a lei de regência da guardas mu</w:t>
      </w:r>
      <w:r w:rsidR="001A267F">
        <w:rPr>
          <w:rFonts w:ascii="Calibri" w:hAnsi="Calibri" w:cs="Calibri"/>
        </w:rPr>
        <w:t>nicipais é a Lei nº 13.022/2014,</w:t>
      </w:r>
      <w:r>
        <w:rPr>
          <w:rFonts w:ascii="Calibri" w:hAnsi="Calibri" w:cs="Calibri"/>
        </w:rPr>
        <w:t xml:space="preserve">  </w:t>
      </w:r>
      <w:r w:rsidRPr="001A267F">
        <w:rPr>
          <w:rFonts w:ascii="Calibri" w:hAnsi="Calibri" w:cs="Calibri"/>
        </w:rPr>
        <w:t>Estatuto Geral das Guardas Municipais</w:t>
      </w:r>
      <w:r w:rsidRPr="00B11FC4">
        <w:rPr>
          <w:rFonts w:ascii="Calibri" w:hAnsi="Calibri" w:cs="Calibri"/>
        </w:rPr>
        <w:t xml:space="preserve">, que </w:t>
      </w:r>
      <w:r>
        <w:rPr>
          <w:rFonts w:ascii="Calibri" w:hAnsi="Calibri" w:cs="Calibri"/>
        </w:rPr>
        <w:t xml:space="preserve">no </w:t>
      </w:r>
      <w:r w:rsidRPr="00B11FC4">
        <w:rPr>
          <w:rFonts w:ascii="Calibri" w:hAnsi="Calibri" w:cs="Calibri"/>
        </w:rPr>
        <w:t>§2º do art. 15 e</w:t>
      </w:r>
      <w:r>
        <w:rPr>
          <w:rFonts w:ascii="Calibri" w:hAnsi="Calibri" w:cs="Calibri"/>
        </w:rPr>
        <w:t xml:space="preserve">stabelece que deverá ser definido em lei municipal </w:t>
      </w:r>
      <w:r w:rsidRPr="00B11FC4">
        <w:rPr>
          <w:rFonts w:ascii="Calibri" w:hAnsi="Calibri" w:cs="Calibri"/>
        </w:rPr>
        <w:t>percentual mínimo para o sexo feminino para ocupação dos cargos em todos os níveis da carreira da guarda municipal.</w:t>
      </w:r>
    </w:p>
    <w:p w:rsidR="00B11FC4" w:rsidRPr="00B11FC4" w:rsidP="003F6A77">
      <w:pPr>
        <w:pStyle w:val="corpodapea"/>
        <w:spacing w:before="0" w:beforeAutospacing="0" w:after="120" w:afterAutospacing="0" w:line="360" w:lineRule="auto"/>
        <w:ind w:firstLine="1701"/>
        <w:jc w:val="both"/>
        <w:rPr>
          <w:rFonts w:ascii="Calibri" w:hAnsi="Calibri" w:cs="Calibri"/>
        </w:rPr>
      </w:pPr>
      <w:r>
        <w:rPr>
          <w:rFonts w:ascii="Calibri" w:hAnsi="Calibri" w:cs="Calibri"/>
        </w:rPr>
        <w:t>Ante o exposto, sem embargos a entendimento divergente reiteramos as recomendações constantes do</w:t>
      </w:r>
      <w:r>
        <w:rPr>
          <w:rFonts w:ascii="Calibri" w:hAnsi="Calibri" w:cs="Calibri"/>
        </w:rPr>
        <w:t xml:space="preserve"> Parecer Jurídico nº </w:t>
      </w:r>
      <w:r>
        <w:rPr>
          <w:rFonts w:ascii="Calibri" w:hAnsi="Calibri" w:cs="Calibri"/>
        </w:rPr>
        <w:t>459/2022.</w:t>
      </w:r>
    </w:p>
    <w:p w:rsidR="001900C3" w:rsidRPr="006405CE" w:rsidP="003F6A77">
      <w:pPr>
        <w:spacing w:after="120" w:line="360" w:lineRule="auto"/>
        <w:ind w:firstLine="1701"/>
        <w:jc w:val="both"/>
        <w:rPr>
          <w:rFonts w:cstheme="minorHAnsi"/>
          <w:sz w:val="24"/>
          <w:szCs w:val="24"/>
        </w:rPr>
      </w:pPr>
      <w:r w:rsidRPr="006405CE">
        <w:rPr>
          <w:rFonts w:cstheme="minorHAnsi"/>
          <w:sz w:val="24"/>
          <w:szCs w:val="24"/>
        </w:rPr>
        <w:t>É o parecer</w:t>
      </w:r>
      <w:r w:rsidR="00561335">
        <w:rPr>
          <w:rFonts w:cstheme="minorHAnsi"/>
          <w:sz w:val="24"/>
          <w:szCs w:val="24"/>
        </w:rPr>
        <w:t xml:space="preserve"> à superior apreciação.</w:t>
      </w:r>
    </w:p>
    <w:p w:rsidR="00623AD7" w:rsidP="001900C3">
      <w:pPr>
        <w:spacing w:after="240" w:line="360" w:lineRule="auto"/>
        <w:ind w:firstLine="1701"/>
        <w:jc w:val="both"/>
        <w:rPr>
          <w:rFonts w:cstheme="minorHAnsi"/>
          <w:sz w:val="24"/>
          <w:szCs w:val="24"/>
        </w:rPr>
      </w:pPr>
      <w:r w:rsidRPr="006405CE">
        <w:rPr>
          <w:rFonts w:cstheme="minorHAnsi"/>
          <w:sz w:val="24"/>
          <w:szCs w:val="24"/>
        </w:rPr>
        <w:t>Procuradoria</w:t>
      </w:r>
      <w:r w:rsidRPr="006405CE">
        <w:rPr>
          <w:rFonts w:cstheme="minorHAnsi"/>
          <w:sz w:val="24"/>
          <w:szCs w:val="24"/>
        </w:rPr>
        <w:t xml:space="preserve">, aos </w:t>
      </w:r>
      <w:r w:rsidR="00FF20B0">
        <w:rPr>
          <w:rFonts w:cstheme="minorHAnsi"/>
          <w:sz w:val="24"/>
          <w:szCs w:val="24"/>
        </w:rPr>
        <w:t>23</w:t>
      </w:r>
      <w:r w:rsidR="00AB285F">
        <w:rPr>
          <w:rFonts w:cstheme="minorHAnsi"/>
          <w:sz w:val="24"/>
          <w:szCs w:val="24"/>
        </w:rPr>
        <w:t xml:space="preserve"> </w:t>
      </w:r>
      <w:r w:rsidRPr="006405CE">
        <w:rPr>
          <w:rFonts w:cstheme="minorHAnsi"/>
          <w:sz w:val="24"/>
          <w:szCs w:val="24"/>
        </w:rPr>
        <w:t xml:space="preserve">de </w:t>
      </w:r>
      <w:r w:rsidR="00E02709">
        <w:rPr>
          <w:rFonts w:cstheme="minorHAnsi"/>
          <w:sz w:val="24"/>
          <w:szCs w:val="24"/>
        </w:rPr>
        <w:t>março</w:t>
      </w:r>
      <w:r w:rsidRPr="006405CE">
        <w:rPr>
          <w:rFonts w:cstheme="minorHAnsi"/>
          <w:sz w:val="24"/>
          <w:szCs w:val="24"/>
        </w:rPr>
        <w:t xml:space="preserve"> de 20</w:t>
      </w:r>
      <w:r w:rsidRPr="006405CE" w:rsidR="00F66849">
        <w:rPr>
          <w:rFonts w:cstheme="minorHAnsi"/>
          <w:sz w:val="24"/>
          <w:szCs w:val="24"/>
        </w:rPr>
        <w:t>2</w:t>
      </w:r>
      <w:r w:rsidR="00E02709">
        <w:rPr>
          <w:rFonts w:cstheme="minorHAnsi"/>
          <w:sz w:val="24"/>
          <w:szCs w:val="24"/>
        </w:rPr>
        <w:t>3</w:t>
      </w:r>
      <w:r w:rsidRPr="006405CE">
        <w:rPr>
          <w:rFonts w:cstheme="minorHAnsi"/>
          <w:sz w:val="24"/>
          <w:szCs w:val="24"/>
        </w:rPr>
        <w:t>.</w:t>
      </w:r>
    </w:p>
    <w:p w:rsidR="00561335" w:rsidP="001900C3">
      <w:pPr>
        <w:spacing w:after="240" w:line="360" w:lineRule="auto"/>
        <w:ind w:firstLine="1701"/>
        <w:jc w:val="both"/>
        <w:rPr>
          <w:rFonts w:cstheme="minorHAnsi"/>
          <w:sz w:val="24"/>
          <w:szCs w:val="24"/>
        </w:rPr>
      </w:pPr>
    </w:p>
    <w:p w:rsidR="00623AD7" w:rsidRPr="006405CE" w:rsidP="00F505B3">
      <w:pPr>
        <w:pStyle w:val="BodyText"/>
        <w:spacing w:after="0"/>
        <w:jc w:val="center"/>
        <w:rPr>
          <w:rFonts w:asciiTheme="minorHAnsi" w:hAnsiTheme="minorHAnsi" w:cstheme="minorHAnsi"/>
          <w:b/>
          <w:szCs w:val="24"/>
        </w:rPr>
      </w:pPr>
      <w:r w:rsidRPr="006405CE">
        <w:rPr>
          <w:rFonts w:asciiTheme="minorHAnsi" w:hAnsiTheme="minorHAnsi" w:cstheme="minorHAnsi"/>
          <w:b/>
          <w:szCs w:val="24"/>
        </w:rPr>
        <w:t>Rosemeire de Souza Cardoso Barbosa</w:t>
      </w:r>
    </w:p>
    <w:p w:rsidR="00055A36" w:rsidP="00F505B3">
      <w:pPr>
        <w:pStyle w:val="BodyText"/>
        <w:spacing w:after="0"/>
        <w:jc w:val="center"/>
        <w:rPr>
          <w:rFonts w:asciiTheme="minorHAnsi" w:hAnsiTheme="minorHAnsi" w:cstheme="minorHAnsi"/>
          <w:b/>
          <w:szCs w:val="24"/>
        </w:rPr>
      </w:pPr>
      <w:r w:rsidRPr="006405CE">
        <w:rPr>
          <w:rFonts w:asciiTheme="minorHAnsi" w:hAnsiTheme="minorHAnsi" w:cstheme="minorHAnsi"/>
          <w:b/>
          <w:szCs w:val="24"/>
        </w:rPr>
        <w:t>Procuradora - OAB/SP 308.298</w:t>
      </w:r>
    </w:p>
    <w:p w:rsidR="00561335" w:rsidRPr="00561335" w:rsidP="00F505B3">
      <w:pPr>
        <w:pStyle w:val="BodyText"/>
        <w:spacing w:after="0"/>
        <w:jc w:val="center"/>
        <w:rPr>
          <w:rFonts w:asciiTheme="minorHAnsi" w:hAnsiTheme="minorHAnsi" w:cstheme="minorHAnsi"/>
          <w:szCs w:val="24"/>
        </w:rPr>
      </w:pPr>
      <w:r w:rsidRPr="00561335">
        <w:rPr>
          <w:rFonts w:asciiTheme="minorHAnsi" w:hAnsiTheme="minorHAnsi" w:cstheme="minorHAnsi"/>
          <w:szCs w:val="24"/>
        </w:rPr>
        <w:t>Assinado digitalmente</w:t>
      </w:r>
    </w:p>
    <w:sectPr w:rsidSect="00106ADB">
      <w:headerReference w:type="default" r:id="rId5"/>
      <w:footerReference w:type="default" r:id="rId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44F53" w:rsidP="00CF4A3C">
            <w:pPr>
              <w:pStyle w:val="Footer"/>
              <w:jc w:val="right"/>
              <w:rPr>
                <w:sz w:val="18"/>
                <w:lang w:val="pt-PT"/>
              </w:rPr>
            </w:pPr>
            <w:r>
              <w:rPr>
                <w:sz w:val="18"/>
                <w:lang w:val="pt-PT"/>
              </w:rPr>
              <w:t>________________________________________________________________________________________</w:t>
            </w:r>
          </w:p>
          <w:p w:rsidR="00A44F53" w:rsidP="003C2F5F">
            <w:pPr>
              <w:pStyle w:val="Footer"/>
              <w:ind w:right="-313"/>
              <w:jc w:val="center"/>
              <w:rPr>
                <w:sz w:val="18"/>
                <w:lang w:val="pt-PT"/>
              </w:rPr>
            </w:pPr>
            <w:r>
              <w:rPr>
                <w:sz w:val="18"/>
                <w:lang w:val="pt-PT"/>
              </w:rPr>
              <w:t>Rua Ângelo Antônio Schiavinato, 59, Residencial São Luis - Tel: (19) 3829.5310 - CEP: 13270-470</w:t>
            </w:r>
          </w:p>
          <w:p w:rsidR="00A44F53" w:rsidP="003C2F5F">
            <w:pPr>
              <w:pStyle w:val="Footer"/>
              <w:ind w:left="-1985" w:right="-313"/>
              <w:jc w:val="center"/>
              <w:rPr>
                <w:sz w:val="18"/>
                <w:lang w:val="pt-PT"/>
              </w:rPr>
            </w:pPr>
            <w:r>
              <w:rPr>
                <w:sz w:val="18"/>
                <w:lang w:val="pt-PT"/>
              </w:rPr>
              <w:t>site: www.camaravalinhos.sp.gov.br</w:t>
            </w:r>
          </w:p>
          <w:p w:rsidR="00A44F53" w:rsidP="003C2F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0800F6">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0800F6">
              <w:rPr>
                <w:b/>
                <w:bCs/>
                <w:noProof/>
                <w:sz w:val="18"/>
                <w:szCs w:val="18"/>
              </w:rPr>
              <w:t>7</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F53" w:rsidP="003C2F5F">
    <w:pPr>
      <w:pStyle w:val="Header"/>
      <w:jc w:val="center"/>
      <w:rPr>
        <w:b/>
        <w:sz w:val="26"/>
        <w:lang w:val="pt-PT"/>
      </w:rPr>
    </w:pPr>
  </w:p>
  <w:p w:rsidR="00A44F53" w:rsidP="003C2F5F">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44F53" w:rsidP="003C2F5F">
                          <w:r>
                            <w:rPr>
                              <w:noProof/>
                              <w:lang w:eastAsia="pt-BR"/>
                            </w:rPr>
                            <w:drawing>
                              <wp:inline distT="0" distB="0" distL="0" distR="0">
                                <wp:extent cx="876300" cy="850900"/>
                                <wp:effectExtent l="19050" t="0" r="0" b="0"/>
                                <wp:docPr id="75542351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6498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143990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1129C" w:rsidP="003C2F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268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3214954" r:id="rId4"/>
                    </w:object>
                  </w:p>
                </w:txbxContent>
              </v:textbox>
              <w10:wrap type="square"/>
            </v:shape>
          </w:pict>
        </mc:Fallback>
      </mc:AlternateContent>
    </w:r>
  </w:p>
  <w:p w:rsidR="00A44F53" w:rsidP="003C2F5F">
    <w:pPr>
      <w:pStyle w:val="Header"/>
      <w:jc w:val="center"/>
      <w:rPr>
        <w:b/>
        <w:sz w:val="28"/>
        <w:lang w:val="pt-PT"/>
      </w:rPr>
    </w:pPr>
    <w:r>
      <w:rPr>
        <w:b/>
        <w:sz w:val="28"/>
        <w:lang w:val="pt-PT"/>
      </w:rPr>
      <w:t>CÂMARA MUNICIPAL DE VALINHOS</w:t>
    </w:r>
  </w:p>
  <w:p w:rsidR="00A44F53" w:rsidP="003C2F5F">
    <w:pPr>
      <w:pStyle w:val="Header"/>
      <w:jc w:val="center"/>
      <w:rPr>
        <w:sz w:val="20"/>
        <w:lang w:val="pt-PT"/>
      </w:rPr>
    </w:pPr>
    <w:r>
      <w:rPr>
        <w:sz w:val="20"/>
        <w:lang w:val="pt-PT"/>
      </w:rPr>
      <w:t>ESTADO DE SÃO PAULO</w:t>
    </w:r>
  </w:p>
  <w:p w:rsidR="00A44F53" w:rsidP="003C2F5F">
    <w:pPr>
      <w:pStyle w:val="Header"/>
    </w:pPr>
  </w:p>
  <w:p w:rsidR="00A44F53" w:rsidP="003C2F5F">
    <w:pPr>
      <w:pStyle w:val="Header"/>
    </w:pPr>
  </w:p>
  <w:p w:rsidR="00A44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353E09F0"/>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A60"/>
    <w:rsid w:val="00000DD6"/>
    <w:rsid w:val="00004354"/>
    <w:rsid w:val="00047E2E"/>
    <w:rsid w:val="00053466"/>
    <w:rsid w:val="00054297"/>
    <w:rsid w:val="00055A36"/>
    <w:rsid w:val="00055CC4"/>
    <w:rsid w:val="00055D2C"/>
    <w:rsid w:val="00057AD0"/>
    <w:rsid w:val="00060B2C"/>
    <w:rsid w:val="00060CA0"/>
    <w:rsid w:val="0006637E"/>
    <w:rsid w:val="000800F6"/>
    <w:rsid w:val="000854D9"/>
    <w:rsid w:val="000863AF"/>
    <w:rsid w:val="00093998"/>
    <w:rsid w:val="000A1978"/>
    <w:rsid w:val="000A2B7F"/>
    <w:rsid w:val="000A485D"/>
    <w:rsid w:val="000A7266"/>
    <w:rsid w:val="000B17B5"/>
    <w:rsid w:val="000B34F9"/>
    <w:rsid w:val="000C070B"/>
    <w:rsid w:val="000C3D41"/>
    <w:rsid w:val="000C4719"/>
    <w:rsid w:val="000C5EAF"/>
    <w:rsid w:val="000D62E2"/>
    <w:rsid w:val="000E0541"/>
    <w:rsid w:val="000E0DF9"/>
    <w:rsid w:val="000E24FC"/>
    <w:rsid w:val="000F2673"/>
    <w:rsid w:val="000F53FD"/>
    <w:rsid w:val="000F5C1B"/>
    <w:rsid w:val="000F7DF6"/>
    <w:rsid w:val="00100254"/>
    <w:rsid w:val="0010042C"/>
    <w:rsid w:val="00106ADB"/>
    <w:rsid w:val="001150B0"/>
    <w:rsid w:val="00116058"/>
    <w:rsid w:val="001166FA"/>
    <w:rsid w:val="00122B60"/>
    <w:rsid w:val="0012397D"/>
    <w:rsid w:val="00123AFE"/>
    <w:rsid w:val="00130A14"/>
    <w:rsid w:val="00133B04"/>
    <w:rsid w:val="00133C76"/>
    <w:rsid w:val="00133FD0"/>
    <w:rsid w:val="00146235"/>
    <w:rsid w:val="00150E74"/>
    <w:rsid w:val="00166B9A"/>
    <w:rsid w:val="00171311"/>
    <w:rsid w:val="00175485"/>
    <w:rsid w:val="001774F7"/>
    <w:rsid w:val="00186563"/>
    <w:rsid w:val="00186BFA"/>
    <w:rsid w:val="001900C3"/>
    <w:rsid w:val="001A267F"/>
    <w:rsid w:val="001A579C"/>
    <w:rsid w:val="001B2556"/>
    <w:rsid w:val="001B380C"/>
    <w:rsid w:val="001B39B0"/>
    <w:rsid w:val="001C4948"/>
    <w:rsid w:val="001D010E"/>
    <w:rsid w:val="001D44F1"/>
    <w:rsid w:val="00200A45"/>
    <w:rsid w:val="00205ED5"/>
    <w:rsid w:val="0021129C"/>
    <w:rsid w:val="00212277"/>
    <w:rsid w:val="0021594C"/>
    <w:rsid w:val="002447C9"/>
    <w:rsid w:val="00253D01"/>
    <w:rsid w:val="00264F4E"/>
    <w:rsid w:val="00277FC6"/>
    <w:rsid w:val="00290799"/>
    <w:rsid w:val="00294437"/>
    <w:rsid w:val="0029742D"/>
    <w:rsid w:val="002A0294"/>
    <w:rsid w:val="002A0BF9"/>
    <w:rsid w:val="002B1B24"/>
    <w:rsid w:val="002B3EF9"/>
    <w:rsid w:val="002B6DD7"/>
    <w:rsid w:val="002C174B"/>
    <w:rsid w:val="002C4D6D"/>
    <w:rsid w:val="002C5848"/>
    <w:rsid w:val="002D0400"/>
    <w:rsid w:val="002D1EEB"/>
    <w:rsid w:val="002D1F88"/>
    <w:rsid w:val="002D6487"/>
    <w:rsid w:val="002E06DC"/>
    <w:rsid w:val="002E0B93"/>
    <w:rsid w:val="002E4BB3"/>
    <w:rsid w:val="002F1549"/>
    <w:rsid w:val="002F5795"/>
    <w:rsid w:val="002F6B75"/>
    <w:rsid w:val="003059A1"/>
    <w:rsid w:val="003128C1"/>
    <w:rsid w:val="003132A3"/>
    <w:rsid w:val="003210F0"/>
    <w:rsid w:val="00323094"/>
    <w:rsid w:val="00350F60"/>
    <w:rsid w:val="00364987"/>
    <w:rsid w:val="00374347"/>
    <w:rsid w:val="0037518E"/>
    <w:rsid w:val="003856D7"/>
    <w:rsid w:val="00391CD8"/>
    <w:rsid w:val="0039276C"/>
    <w:rsid w:val="003A5BDC"/>
    <w:rsid w:val="003A6461"/>
    <w:rsid w:val="003B4ED0"/>
    <w:rsid w:val="003B55E5"/>
    <w:rsid w:val="003C2F5F"/>
    <w:rsid w:val="003C4DB0"/>
    <w:rsid w:val="003C6555"/>
    <w:rsid w:val="003D3D50"/>
    <w:rsid w:val="003D6EE3"/>
    <w:rsid w:val="003E371A"/>
    <w:rsid w:val="003E3801"/>
    <w:rsid w:val="003E7CBC"/>
    <w:rsid w:val="003F01D6"/>
    <w:rsid w:val="003F0920"/>
    <w:rsid w:val="003F0DCB"/>
    <w:rsid w:val="003F610A"/>
    <w:rsid w:val="003F6A77"/>
    <w:rsid w:val="003F6ED2"/>
    <w:rsid w:val="0040409A"/>
    <w:rsid w:val="00407A33"/>
    <w:rsid w:val="00415C7A"/>
    <w:rsid w:val="00417BC0"/>
    <w:rsid w:val="0042683D"/>
    <w:rsid w:val="00427BE6"/>
    <w:rsid w:val="0043016F"/>
    <w:rsid w:val="00433A4C"/>
    <w:rsid w:val="0045236F"/>
    <w:rsid w:val="0045680E"/>
    <w:rsid w:val="00456BB8"/>
    <w:rsid w:val="00463888"/>
    <w:rsid w:val="00465FE0"/>
    <w:rsid w:val="004738DA"/>
    <w:rsid w:val="00483544"/>
    <w:rsid w:val="004D6EED"/>
    <w:rsid w:val="004E07A3"/>
    <w:rsid w:val="004E6AC4"/>
    <w:rsid w:val="005056F7"/>
    <w:rsid w:val="005101D9"/>
    <w:rsid w:val="00531B48"/>
    <w:rsid w:val="00542732"/>
    <w:rsid w:val="0054429B"/>
    <w:rsid w:val="0054431A"/>
    <w:rsid w:val="00551B9D"/>
    <w:rsid w:val="00553C12"/>
    <w:rsid w:val="00561335"/>
    <w:rsid w:val="005649C7"/>
    <w:rsid w:val="005660DC"/>
    <w:rsid w:val="00572C26"/>
    <w:rsid w:val="0058062A"/>
    <w:rsid w:val="00582F11"/>
    <w:rsid w:val="00585C59"/>
    <w:rsid w:val="00591032"/>
    <w:rsid w:val="00593369"/>
    <w:rsid w:val="00596241"/>
    <w:rsid w:val="005A1CB4"/>
    <w:rsid w:val="005B66AE"/>
    <w:rsid w:val="005C097C"/>
    <w:rsid w:val="005C3000"/>
    <w:rsid w:val="005E0BB6"/>
    <w:rsid w:val="005E2A7A"/>
    <w:rsid w:val="005F07F7"/>
    <w:rsid w:val="005F696D"/>
    <w:rsid w:val="006102A5"/>
    <w:rsid w:val="00613C31"/>
    <w:rsid w:val="0061442B"/>
    <w:rsid w:val="00620F66"/>
    <w:rsid w:val="00621531"/>
    <w:rsid w:val="00622D40"/>
    <w:rsid w:val="00623AD7"/>
    <w:rsid w:val="00625539"/>
    <w:rsid w:val="0063663D"/>
    <w:rsid w:val="006405CE"/>
    <w:rsid w:val="00644ED3"/>
    <w:rsid w:val="006504F4"/>
    <w:rsid w:val="00650EA3"/>
    <w:rsid w:val="0065692D"/>
    <w:rsid w:val="0067562F"/>
    <w:rsid w:val="00686242"/>
    <w:rsid w:val="00687B41"/>
    <w:rsid w:val="006A10A0"/>
    <w:rsid w:val="006A1A17"/>
    <w:rsid w:val="006A2D44"/>
    <w:rsid w:val="006A5B5D"/>
    <w:rsid w:val="006A6252"/>
    <w:rsid w:val="006B0996"/>
    <w:rsid w:val="006B1DD9"/>
    <w:rsid w:val="006D1203"/>
    <w:rsid w:val="006D2F36"/>
    <w:rsid w:val="006D3D67"/>
    <w:rsid w:val="006E00C4"/>
    <w:rsid w:val="006E069F"/>
    <w:rsid w:val="006E3BE4"/>
    <w:rsid w:val="006E43B0"/>
    <w:rsid w:val="006E4468"/>
    <w:rsid w:val="006E4F1C"/>
    <w:rsid w:val="006E5857"/>
    <w:rsid w:val="006F0642"/>
    <w:rsid w:val="006F6EBB"/>
    <w:rsid w:val="0070570A"/>
    <w:rsid w:val="007111F6"/>
    <w:rsid w:val="0071405C"/>
    <w:rsid w:val="007277F2"/>
    <w:rsid w:val="00731CB5"/>
    <w:rsid w:val="00732084"/>
    <w:rsid w:val="00737577"/>
    <w:rsid w:val="00742CBA"/>
    <w:rsid w:val="00743338"/>
    <w:rsid w:val="007445E7"/>
    <w:rsid w:val="007479A7"/>
    <w:rsid w:val="00753377"/>
    <w:rsid w:val="00757BDF"/>
    <w:rsid w:val="007711FB"/>
    <w:rsid w:val="0079319A"/>
    <w:rsid w:val="007A3E43"/>
    <w:rsid w:val="007C7735"/>
    <w:rsid w:val="007D24E4"/>
    <w:rsid w:val="007D6467"/>
    <w:rsid w:val="007E1938"/>
    <w:rsid w:val="007E1F99"/>
    <w:rsid w:val="007E684E"/>
    <w:rsid w:val="007E6E69"/>
    <w:rsid w:val="007F74E9"/>
    <w:rsid w:val="00805484"/>
    <w:rsid w:val="00815A68"/>
    <w:rsid w:val="008325D8"/>
    <w:rsid w:val="00833548"/>
    <w:rsid w:val="00840756"/>
    <w:rsid w:val="00843AF6"/>
    <w:rsid w:val="00844F2A"/>
    <w:rsid w:val="0085120B"/>
    <w:rsid w:val="008549DB"/>
    <w:rsid w:val="00862797"/>
    <w:rsid w:val="00866252"/>
    <w:rsid w:val="00867EC0"/>
    <w:rsid w:val="008706BC"/>
    <w:rsid w:val="008743BF"/>
    <w:rsid w:val="00880E5C"/>
    <w:rsid w:val="00896F8D"/>
    <w:rsid w:val="008973C1"/>
    <w:rsid w:val="008A0003"/>
    <w:rsid w:val="008A49B2"/>
    <w:rsid w:val="008B446B"/>
    <w:rsid w:val="008B6D80"/>
    <w:rsid w:val="008C1C49"/>
    <w:rsid w:val="008C29F0"/>
    <w:rsid w:val="008C6F6B"/>
    <w:rsid w:val="008C7051"/>
    <w:rsid w:val="008D4473"/>
    <w:rsid w:val="008D48C2"/>
    <w:rsid w:val="008D545A"/>
    <w:rsid w:val="008D67BD"/>
    <w:rsid w:val="008E7C91"/>
    <w:rsid w:val="008F1AFA"/>
    <w:rsid w:val="008F5FCA"/>
    <w:rsid w:val="00907BC1"/>
    <w:rsid w:val="0092151D"/>
    <w:rsid w:val="00924DE9"/>
    <w:rsid w:val="0094325E"/>
    <w:rsid w:val="00946529"/>
    <w:rsid w:val="009513F9"/>
    <w:rsid w:val="00955AD1"/>
    <w:rsid w:val="00965295"/>
    <w:rsid w:val="0097085A"/>
    <w:rsid w:val="0097182D"/>
    <w:rsid w:val="00973E66"/>
    <w:rsid w:val="009823C1"/>
    <w:rsid w:val="00984BDB"/>
    <w:rsid w:val="00985CD8"/>
    <w:rsid w:val="009863CB"/>
    <w:rsid w:val="00987EDC"/>
    <w:rsid w:val="00990D8F"/>
    <w:rsid w:val="00991BA0"/>
    <w:rsid w:val="00995E87"/>
    <w:rsid w:val="009A6ACD"/>
    <w:rsid w:val="009C6D2C"/>
    <w:rsid w:val="009C736C"/>
    <w:rsid w:val="009D276A"/>
    <w:rsid w:val="009E66FE"/>
    <w:rsid w:val="009E6BF6"/>
    <w:rsid w:val="009F0F77"/>
    <w:rsid w:val="009F1FC7"/>
    <w:rsid w:val="00A21575"/>
    <w:rsid w:val="00A32BE6"/>
    <w:rsid w:val="00A33922"/>
    <w:rsid w:val="00A369D9"/>
    <w:rsid w:val="00A44636"/>
    <w:rsid w:val="00A44F53"/>
    <w:rsid w:val="00A455A2"/>
    <w:rsid w:val="00A65EAF"/>
    <w:rsid w:val="00A7003F"/>
    <w:rsid w:val="00A731C0"/>
    <w:rsid w:val="00A816F6"/>
    <w:rsid w:val="00A81B64"/>
    <w:rsid w:val="00A84A80"/>
    <w:rsid w:val="00A87F7F"/>
    <w:rsid w:val="00A975C6"/>
    <w:rsid w:val="00AA1064"/>
    <w:rsid w:val="00AA19F5"/>
    <w:rsid w:val="00AB02F8"/>
    <w:rsid w:val="00AB285F"/>
    <w:rsid w:val="00AB426C"/>
    <w:rsid w:val="00AC3EB7"/>
    <w:rsid w:val="00AC632E"/>
    <w:rsid w:val="00AC6375"/>
    <w:rsid w:val="00AD2EF4"/>
    <w:rsid w:val="00AD41DD"/>
    <w:rsid w:val="00AE0392"/>
    <w:rsid w:val="00AE459A"/>
    <w:rsid w:val="00AF0F9C"/>
    <w:rsid w:val="00AF10E0"/>
    <w:rsid w:val="00AF6A61"/>
    <w:rsid w:val="00B03A10"/>
    <w:rsid w:val="00B11FC4"/>
    <w:rsid w:val="00B20851"/>
    <w:rsid w:val="00B21513"/>
    <w:rsid w:val="00B23745"/>
    <w:rsid w:val="00B4272B"/>
    <w:rsid w:val="00B51914"/>
    <w:rsid w:val="00B6446F"/>
    <w:rsid w:val="00B77DD5"/>
    <w:rsid w:val="00B84FDE"/>
    <w:rsid w:val="00B9191A"/>
    <w:rsid w:val="00B92F48"/>
    <w:rsid w:val="00BA60E8"/>
    <w:rsid w:val="00BA71BB"/>
    <w:rsid w:val="00BB2737"/>
    <w:rsid w:val="00BB4A3C"/>
    <w:rsid w:val="00BB699B"/>
    <w:rsid w:val="00BC1CA3"/>
    <w:rsid w:val="00BD7376"/>
    <w:rsid w:val="00BE272B"/>
    <w:rsid w:val="00BF1E38"/>
    <w:rsid w:val="00BF6582"/>
    <w:rsid w:val="00C037D3"/>
    <w:rsid w:val="00C16375"/>
    <w:rsid w:val="00C50F96"/>
    <w:rsid w:val="00C54AEF"/>
    <w:rsid w:val="00C60F3F"/>
    <w:rsid w:val="00C65153"/>
    <w:rsid w:val="00C72A66"/>
    <w:rsid w:val="00C772FB"/>
    <w:rsid w:val="00C911DC"/>
    <w:rsid w:val="00C96BE2"/>
    <w:rsid w:val="00CA36F2"/>
    <w:rsid w:val="00CB55DD"/>
    <w:rsid w:val="00CC3BFA"/>
    <w:rsid w:val="00CD2341"/>
    <w:rsid w:val="00CD2BC2"/>
    <w:rsid w:val="00CF4A3C"/>
    <w:rsid w:val="00D03012"/>
    <w:rsid w:val="00D30717"/>
    <w:rsid w:val="00D34F3A"/>
    <w:rsid w:val="00D36612"/>
    <w:rsid w:val="00D3794D"/>
    <w:rsid w:val="00D43148"/>
    <w:rsid w:val="00D50B43"/>
    <w:rsid w:val="00D56ED0"/>
    <w:rsid w:val="00D57968"/>
    <w:rsid w:val="00D7028D"/>
    <w:rsid w:val="00D8253A"/>
    <w:rsid w:val="00D90938"/>
    <w:rsid w:val="00DA067C"/>
    <w:rsid w:val="00DA24D4"/>
    <w:rsid w:val="00DA6666"/>
    <w:rsid w:val="00DB6A57"/>
    <w:rsid w:val="00DE268D"/>
    <w:rsid w:val="00DF2599"/>
    <w:rsid w:val="00DF2C1A"/>
    <w:rsid w:val="00DF3DFD"/>
    <w:rsid w:val="00E010C5"/>
    <w:rsid w:val="00E02709"/>
    <w:rsid w:val="00E0653C"/>
    <w:rsid w:val="00E07310"/>
    <w:rsid w:val="00E106FD"/>
    <w:rsid w:val="00E12470"/>
    <w:rsid w:val="00E14ADC"/>
    <w:rsid w:val="00E17B92"/>
    <w:rsid w:val="00E3389E"/>
    <w:rsid w:val="00E3474E"/>
    <w:rsid w:val="00E405EE"/>
    <w:rsid w:val="00E41EA1"/>
    <w:rsid w:val="00E503EA"/>
    <w:rsid w:val="00E6171D"/>
    <w:rsid w:val="00E66F59"/>
    <w:rsid w:val="00E7573E"/>
    <w:rsid w:val="00E77219"/>
    <w:rsid w:val="00E77D24"/>
    <w:rsid w:val="00E813C9"/>
    <w:rsid w:val="00E816BA"/>
    <w:rsid w:val="00E91634"/>
    <w:rsid w:val="00E9745E"/>
    <w:rsid w:val="00EA669D"/>
    <w:rsid w:val="00EB49A2"/>
    <w:rsid w:val="00EB4F80"/>
    <w:rsid w:val="00EB5C89"/>
    <w:rsid w:val="00EC6150"/>
    <w:rsid w:val="00EE2FE4"/>
    <w:rsid w:val="00EE6021"/>
    <w:rsid w:val="00F154E2"/>
    <w:rsid w:val="00F1565F"/>
    <w:rsid w:val="00F253CD"/>
    <w:rsid w:val="00F3073D"/>
    <w:rsid w:val="00F36FF8"/>
    <w:rsid w:val="00F40D80"/>
    <w:rsid w:val="00F505B3"/>
    <w:rsid w:val="00F53BEF"/>
    <w:rsid w:val="00F564CF"/>
    <w:rsid w:val="00F66849"/>
    <w:rsid w:val="00F726DD"/>
    <w:rsid w:val="00F740A6"/>
    <w:rsid w:val="00F761EB"/>
    <w:rsid w:val="00F847EE"/>
    <w:rsid w:val="00F96CC6"/>
    <w:rsid w:val="00FA1D5B"/>
    <w:rsid w:val="00FA2E7C"/>
    <w:rsid w:val="00FB0318"/>
    <w:rsid w:val="00FB6778"/>
    <w:rsid w:val="00FB7CDD"/>
    <w:rsid w:val="00FC59A5"/>
    <w:rsid w:val="00FC5BCC"/>
    <w:rsid w:val="00FD744D"/>
    <w:rsid w:val="00FE2247"/>
    <w:rsid w:val="00FE410F"/>
    <w:rsid w:val="00FE4464"/>
    <w:rsid w:val="00FF0189"/>
    <w:rsid w:val="00FF16C9"/>
    <w:rsid w:val="00FF20B0"/>
    <w:rsid w:val="00FF303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texto">
    <w:name w:val="tptexto"/>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0A72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3EA-5FFB-41E3-8876-A795E27A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1980</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23</cp:revision>
  <cp:lastPrinted>2021-05-27T14:59:00Z</cp:lastPrinted>
  <dcterms:created xsi:type="dcterms:W3CDTF">2023-03-21T17:23:00Z</dcterms:created>
  <dcterms:modified xsi:type="dcterms:W3CDTF">2023-03-27T19:32:00Z</dcterms:modified>
</cp:coreProperties>
</file>