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C77A98" w:rsidP="00D92B73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C77A98">
        <w:rPr>
          <w:rFonts w:asciiTheme="minorHAnsi" w:hAnsiTheme="minorHAnsi" w:cstheme="minorHAnsi"/>
          <w:b/>
          <w:color w:val="auto"/>
        </w:rPr>
        <w:t>Parecer Jurídico nº</w:t>
      </w:r>
      <w:r w:rsidRPr="00C77A98" w:rsidR="000144A5">
        <w:rPr>
          <w:rFonts w:asciiTheme="minorHAnsi" w:hAnsiTheme="minorHAnsi" w:cstheme="minorHAnsi"/>
          <w:b/>
          <w:color w:val="auto"/>
        </w:rPr>
        <w:t xml:space="preserve"> </w:t>
      </w:r>
      <w:r w:rsidRPr="00C77A98" w:rsidR="00C77A98">
        <w:rPr>
          <w:rFonts w:asciiTheme="minorHAnsi" w:hAnsiTheme="minorHAnsi" w:cstheme="minorHAnsi"/>
          <w:b/>
          <w:color w:val="auto"/>
        </w:rPr>
        <w:t>090</w:t>
      </w:r>
      <w:r w:rsidRPr="00C77A98">
        <w:rPr>
          <w:rFonts w:asciiTheme="minorHAnsi" w:hAnsiTheme="minorHAnsi" w:cstheme="minorHAnsi"/>
          <w:b/>
          <w:color w:val="auto"/>
        </w:rPr>
        <w:t>/202</w:t>
      </w:r>
      <w:r w:rsidRPr="00C77A98" w:rsidR="00184C16">
        <w:rPr>
          <w:rFonts w:asciiTheme="minorHAnsi" w:hAnsiTheme="minorHAnsi" w:cstheme="minorHAnsi"/>
          <w:b/>
          <w:color w:val="auto"/>
        </w:rPr>
        <w:t>3</w:t>
      </w:r>
      <w:r w:rsidRPr="00C77A98">
        <w:rPr>
          <w:rFonts w:asciiTheme="minorHAnsi" w:hAnsiTheme="minorHAnsi" w:cstheme="minorHAnsi"/>
          <w:b/>
          <w:color w:val="auto"/>
        </w:rPr>
        <w:t>.</w:t>
      </w:r>
    </w:p>
    <w:p w:rsidR="003C269B" w:rsidRPr="001C49E1" w:rsidP="003C269B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b/>
          <w:bCs/>
          <w:szCs w:val="24"/>
        </w:rPr>
        <w:t xml:space="preserve">Assunto: Emenda 01 ao </w:t>
      </w:r>
      <w:r w:rsidRPr="001C49E1" w:rsidR="00D06E04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="000144A5">
        <w:rPr>
          <w:rFonts w:asciiTheme="minorHAnsi" w:hAnsiTheme="minorHAnsi" w:cstheme="minorHAnsi"/>
          <w:b/>
          <w:bCs/>
          <w:szCs w:val="24"/>
        </w:rPr>
        <w:t>15</w:t>
      </w:r>
      <w:r w:rsidRPr="001C49E1" w:rsidR="00184C16">
        <w:rPr>
          <w:rFonts w:asciiTheme="minorHAnsi" w:hAnsiTheme="minorHAnsi" w:cstheme="minorHAnsi"/>
          <w:b/>
          <w:bCs/>
          <w:szCs w:val="24"/>
        </w:rPr>
        <w:t>/202</w:t>
      </w:r>
      <w:r w:rsidR="000144A5">
        <w:rPr>
          <w:rFonts w:asciiTheme="minorHAnsi" w:hAnsiTheme="minorHAnsi" w:cstheme="minorHAnsi"/>
          <w:b/>
          <w:bCs/>
          <w:szCs w:val="24"/>
        </w:rPr>
        <w:t>3</w:t>
      </w:r>
      <w:r w:rsidRPr="001C49E1" w:rsidR="001121D0">
        <w:rPr>
          <w:rFonts w:asciiTheme="minorHAnsi" w:hAnsiTheme="minorHAnsi" w:cstheme="minorHAnsi"/>
          <w:bCs/>
          <w:szCs w:val="24"/>
        </w:rPr>
        <w:t xml:space="preserve"> </w:t>
      </w:r>
      <w:r w:rsidRPr="001C49E1" w:rsidR="001121D0">
        <w:rPr>
          <w:rFonts w:eastAsia="Calibri" w:asciiTheme="minorHAnsi" w:hAnsiTheme="minorHAnsi" w:cstheme="minorHAnsi"/>
          <w:szCs w:val="24"/>
        </w:rPr>
        <w:t>que “</w:t>
      </w:r>
      <w:r w:rsidRPr="000144A5" w:rsidR="000144A5">
        <w:rPr>
          <w:rFonts w:eastAsia="Calibri" w:asciiTheme="minorHAnsi" w:hAnsiTheme="minorHAnsi" w:cstheme="minorHAnsi"/>
          <w:szCs w:val="24"/>
        </w:rPr>
        <w:t xml:space="preserve">Dispõe sobre a instalação e o uso de extensão temporária de passeio </w:t>
      </w:r>
      <w:r w:rsidRPr="000144A5" w:rsidR="000144A5">
        <w:rPr>
          <w:rFonts w:eastAsia="Calibri" w:asciiTheme="minorHAnsi" w:hAnsiTheme="minorHAnsi" w:cstheme="minorHAnsi"/>
          <w:szCs w:val="24"/>
        </w:rPr>
        <w:t>público denominada</w:t>
      </w:r>
      <w:r w:rsidRPr="000144A5" w:rsidR="000144A5">
        <w:rPr>
          <w:rFonts w:eastAsia="Calibri" w:asciiTheme="minorHAnsi" w:hAnsiTheme="minorHAnsi" w:cstheme="minorHAnsi"/>
          <w:szCs w:val="24"/>
        </w:rPr>
        <w:t xml:space="preserve"> parklet no Município de Valinhos</w:t>
      </w:r>
      <w:r w:rsidRPr="001C49E1" w:rsidR="00FF419B">
        <w:rPr>
          <w:rFonts w:eastAsia="Calibri" w:asciiTheme="minorHAnsi" w:hAnsiTheme="minorHAnsi" w:cstheme="minorHAnsi"/>
          <w:szCs w:val="24"/>
        </w:rPr>
        <w:t>”.</w:t>
      </w:r>
    </w:p>
    <w:p w:rsidR="005F4237" w:rsidRPr="001C49E1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eastAsia="Calibri" w:asciiTheme="minorHAnsi" w:hAnsiTheme="minorHAnsi" w:cstheme="minorHAnsi"/>
          <w:b/>
          <w:szCs w:val="24"/>
        </w:rPr>
        <w:t xml:space="preserve">Autoria da Emenda: </w:t>
      </w:r>
      <w:r w:rsidRPr="001C49E1" w:rsidR="003C269B">
        <w:rPr>
          <w:rFonts w:eastAsia="Calibri" w:asciiTheme="minorHAnsi" w:hAnsiTheme="minorHAnsi" w:cstheme="minorHAnsi"/>
          <w:szCs w:val="24"/>
        </w:rPr>
        <w:t xml:space="preserve">Vereador </w:t>
      </w:r>
      <w:r w:rsidRPr="001C49E1" w:rsidR="00D06E04">
        <w:rPr>
          <w:rFonts w:eastAsia="Calibri" w:asciiTheme="minorHAnsi" w:hAnsiTheme="minorHAnsi" w:cstheme="minorHAnsi"/>
          <w:szCs w:val="24"/>
        </w:rPr>
        <w:t>Veiga</w:t>
      </w:r>
      <w:r w:rsidRPr="001C49E1">
        <w:rPr>
          <w:rFonts w:eastAsia="Calibri" w:asciiTheme="minorHAnsi" w:hAnsiTheme="minorHAnsi" w:cstheme="minorHAnsi"/>
          <w:szCs w:val="24"/>
        </w:rPr>
        <w:t>.</w:t>
      </w:r>
    </w:p>
    <w:p w:rsidR="005F4237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5F4237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DE4F3E" w:rsidRPr="001C49E1" w:rsidP="00D92B73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C49E1">
        <w:rPr>
          <w:rFonts w:asciiTheme="minorHAnsi" w:hAnsiTheme="minorHAnsi" w:cstheme="minorHAnsi"/>
          <w:b/>
          <w:i/>
          <w:color w:val="auto"/>
        </w:rPr>
        <w:t>Exmo.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6D0DE0">
        <w:rPr>
          <w:rFonts w:asciiTheme="minorHAnsi" w:hAnsiTheme="minorHAnsi" w:cstheme="minorHAnsi"/>
          <w:b/>
          <w:i/>
          <w:color w:val="auto"/>
        </w:rPr>
        <w:t>Sr.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Presidente</w:t>
      </w:r>
      <w:r w:rsidRPr="001C49E1" w:rsidR="001A7907">
        <w:rPr>
          <w:rFonts w:asciiTheme="minorHAnsi" w:hAnsiTheme="minorHAnsi" w:cstheme="minorHAnsi"/>
          <w:b/>
          <w:i/>
          <w:color w:val="auto"/>
        </w:rPr>
        <w:t xml:space="preserve"> Vereador</w:t>
      </w:r>
      <w:r w:rsidRPr="001C49E1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1C49E1" w:rsidR="008A0037">
        <w:rPr>
          <w:rFonts w:asciiTheme="minorHAnsi" w:hAnsiTheme="minorHAnsi" w:cstheme="minorHAnsi"/>
          <w:b/>
          <w:i/>
          <w:color w:val="auto"/>
        </w:rPr>
        <w:t xml:space="preserve">Gabriel Bueno. </w:t>
      </w:r>
    </w:p>
    <w:p w:rsidR="00DE4F3E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DE4F3E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C49E1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3C269B" w:rsidRPr="000144A5" w:rsidP="000144A5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color w:val="auto"/>
        </w:rPr>
        <w:t xml:space="preserve">Trata-se de parecer jurídico relativo à emenda </w:t>
      </w:r>
      <w:r w:rsidRPr="001C49E1" w:rsidR="00F66D55">
        <w:rPr>
          <w:rFonts w:asciiTheme="minorHAnsi" w:hAnsiTheme="minorHAnsi" w:cstheme="minorHAnsi"/>
          <w:color w:val="auto"/>
        </w:rPr>
        <w:t>em epígrafe</w:t>
      </w:r>
      <w:r w:rsidRPr="001C49E1">
        <w:rPr>
          <w:rFonts w:asciiTheme="minorHAnsi" w:hAnsiTheme="minorHAnsi" w:cstheme="minorHAnsi"/>
          <w:color w:val="auto"/>
        </w:rPr>
        <w:t xml:space="preserve"> </w:t>
      </w:r>
      <w:r w:rsidRPr="001C49E1" w:rsidR="001A7907">
        <w:rPr>
          <w:rFonts w:asciiTheme="minorHAnsi" w:hAnsiTheme="minorHAnsi" w:cstheme="minorHAnsi"/>
          <w:color w:val="auto"/>
        </w:rPr>
        <w:t>que</w:t>
      </w:r>
      <w:r w:rsidRPr="001C49E1">
        <w:rPr>
          <w:rFonts w:asciiTheme="minorHAnsi" w:hAnsiTheme="minorHAnsi" w:cstheme="minorHAnsi"/>
          <w:color w:val="auto"/>
        </w:rPr>
        <w:t xml:space="preserve"> tenciona</w:t>
      </w:r>
      <w:r w:rsidRPr="001C49E1" w:rsidR="001A7907">
        <w:rPr>
          <w:rFonts w:asciiTheme="minorHAnsi" w:hAnsiTheme="minorHAnsi" w:cstheme="minorHAnsi"/>
          <w:color w:val="auto"/>
        </w:rPr>
        <w:t xml:space="preserve"> </w:t>
      </w:r>
      <w:r w:rsidR="000144A5">
        <w:rPr>
          <w:rFonts w:asciiTheme="minorHAnsi" w:hAnsiTheme="minorHAnsi" w:cstheme="minorHAnsi"/>
          <w:color w:val="auto"/>
        </w:rPr>
        <w:t xml:space="preserve">alterar o </w:t>
      </w:r>
      <w:r w:rsidRPr="000144A5" w:rsidR="000144A5">
        <w:rPr>
          <w:rFonts w:asciiTheme="minorHAnsi" w:hAnsiTheme="minorHAnsi" w:cstheme="minorHAnsi"/>
          <w:color w:val="auto"/>
        </w:rPr>
        <w:t>artigo 2º e o inciso III, do § 4º, do art. 5º do Projeto de Lei nº 15/2023</w:t>
      </w:r>
      <w:r w:rsidR="000144A5">
        <w:rPr>
          <w:rFonts w:asciiTheme="minorHAnsi" w:hAnsiTheme="minorHAnsi" w:cstheme="minorHAnsi"/>
          <w:color w:val="auto"/>
        </w:rPr>
        <w:t xml:space="preserve">, que </w:t>
      </w:r>
      <w:r w:rsidRPr="001C49E1" w:rsidR="000144A5">
        <w:rPr>
          <w:rFonts w:asciiTheme="minorHAnsi" w:hAnsiTheme="minorHAnsi" w:cstheme="minorHAnsi"/>
        </w:rPr>
        <w:t>“</w:t>
      </w:r>
      <w:r w:rsidRPr="000144A5" w:rsidR="000144A5">
        <w:rPr>
          <w:rFonts w:asciiTheme="minorHAnsi" w:hAnsiTheme="minorHAnsi" w:cstheme="minorHAnsi"/>
          <w:i/>
        </w:rPr>
        <w:t xml:space="preserve">Dispõe sobre a instalação e o uso de extensão temporária de passeio </w:t>
      </w:r>
      <w:r w:rsidRPr="000144A5" w:rsidR="000144A5">
        <w:rPr>
          <w:rFonts w:asciiTheme="minorHAnsi" w:hAnsiTheme="minorHAnsi" w:cstheme="minorHAnsi"/>
          <w:i/>
        </w:rPr>
        <w:t>público denominada</w:t>
      </w:r>
      <w:r w:rsidRPr="000144A5" w:rsidR="000144A5">
        <w:rPr>
          <w:rFonts w:asciiTheme="minorHAnsi" w:hAnsiTheme="minorHAnsi" w:cstheme="minorHAnsi"/>
          <w:i/>
        </w:rPr>
        <w:t xml:space="preserve"> parklet no Município de Valinhos</w:t>
      </w:r>
      <w:r w:rsidR="000144A5">
        <w:rPr>
          <w:rFonts w:asciiTheme="minorHAnsi" w:hAnsiTheme="minorHAnsi" w:cstheme="minorHAnsi"/>
        </w:rPr>
        <w:t>”</w:t>
      </w:r>
      <w:r w:rsidRPr="001C49E1">
        <w:rPr>
          <w:rFonts w:asciiTheme="minorHAnsi" w:hAnsiTheme="minorHAnsi" w:cstheme="minorHAnsi"/>
        </w:rPr>
        <w:t>, nos seguintes termos:</w:t>
      </w:r>
    </w:p>
    <w:tbl>
      <w:tblPr>
        <w:tblStyle w:val="TableGrid"/>
        <w:tblW w:w="8897" w:type="dxa"/>
        <w:tblLayout w:type="fixed"/>
        <w:tblLook w:val="04A0"/>
      </w:tblPr>
      <w:tblGrid>
        <w:gridCol w:w="4503"/>
        <w:gridCol w:w="4394"/>
      </w:tblGrid>
      <w:tr w:rsidTr="00FD647C">
        <w:tblPrEx>
          <w:tblW w:w="8897" w:type="dxa"/>
          <w:tblLayout w:type="fixed"/>
          <w:tblLook w:val="04A0"/>
        </w:tblPrEx>
        <w:tc>
          <w:tcPr>
            <w:tcW w:w="4503" w:type="dxa"/>
          </w:tcPr>
          <w:p w:rsidR="00DE4F3E" w:rsidRPr="00C741FE" w:rsidP="00FD647C">
            <w:pPr>
              <w:tabs>
                <w:tab w:val="left" w:pos="1701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3C269B" w:rsidRPr="00C741FE" w:rsidP="000144A5">
            <w:pPr>
              <w:tabs>
                <w:tab w:val="left" w:pos="1701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Redação proposta no PL nº </w:t>
            </w:r>
            <w:r w:rsidRPr="00C741FE" w:rsidR="000144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Pr="00C741FE" w:rsidR="000144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DE4F3E" w:rsidRPr="00C741FE" w:rsidP="003C269B">
            <w:pPr>
              <w:tabs>
                <w:tab w:val="left" w:pos="1701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3C269B" w:rsidRPr="00C741FE" w:rsidP="000144A5">
            <w:pPr>
              <w:tabs>
                <w:tab w:val="left" w:pos="1701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Emenda 01 ao </w:t>
            </w:r>
            <w:r w:rsidRPr="00C741FE" w:rsidR="00D06E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PL nº </w:t>
            </w:r>
            <w:r w:rsidRPr="00C741FE" w:rsidR="000144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Pr="00C741FE" w:rsidR="000144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Tr="00FD647C">
        <w:tblPrEx>
          <w:tblW w:w="8897" w:type="dxa"/>
          <w:tblLayout w:type="fixed"/>
          <w:tblLook w:val="04A0"/>
        </w:tblPrEx>
        <w:tc>
          <w:tcPr>
            <w:tcW w:w="4503" w:type="dxa"/>
          </w:tcPr>
          <w:p w:rsidR="000144A5" w:rsidRPr="00C741FE" w:rsidP="000144A5">
            <w:pPr>
              <w:spacing w:after="120" w:line="276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shd w:val="clear" w:color="auto" w:fill="FFFFFF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Art. 2º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Para fins desta lei considera-se parklet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 uso do passeio público por meio da ampliação e extensão das vias e logradouros públicos,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realizada pela implantação de plataforma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temporária ou mobiliário urbano, em geral instalada em paralelo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à pista de rolamento de veículo ou sobre a área antes ocupada pelo leito carroçável, no nível do passeio público, em vagas até então destinadas a estacionamento de veículos, equipada com estruturas que visem ao incremento da convivência e fruição dos cidadãos, tais como bancos, floreiras, mesas, cadeiras, guarda-sóis, aparelho de exercícios físicos, suportes para coleiras de animais de estimação, apoio para objetos pessoais,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paraciclos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ou outros elementos característicos de uma área de convivência pública, para fins de descanso,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convívio, permanência de pessoas, manifestações culturais, recreação e lazer social, público e coletivo</w:t>
            </w:r>
            <w:r w:rsidRPr="00C741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0144A5" w:rsidRPr="00C741FE" w:rsidP="000144A5">
            <w:pPr>
              <w:spacing w:after="120" w:line="276" w:lineRule="auto"/>
              <w:ind w:left="317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Art. 2º.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Para fins desta Lei, considera-se parklet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ampliação do passeio público,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realizada por meio da implantação de plataforma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sobre a área antes ocupada pelo leito carroçável da via pública, equipada com bancos, floreiras, mesas e cadeiras, guarda-sóis, aparelhos de exercícios físicos,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paraciclos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ou outros elementos de mobiliário, com função de recreação, permanência de pessoas, manifestações artísticas e culturais, descanso, convívio e lazer social, público e coletivo. </w:t>
            </w:r>
          </w:p>
          <w:p w:rsidR="000144A5" w:rsidRPr="00C741FE" w:rsidP="000144A5">
            <w:pPr>
              <w:spacing w:after="120" w:line="276" w:lineRule="auto"/>
              <w:ind w:left="317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>....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0144A5" w:rsidRPr="00C741FE" w:rsidP="000144A5">
            <w:pPr>
              <w:spacing w:after="120" w:line="276" w:lineRule="auto"/>
              <w:ind w:left="317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Tr="00FD647C">
        <w:tblPrEx>
          <w:tblW w:w="8897" w:type="dxa"/>
          <w:tblLayout w:type="fixed"/>
          <w:tblLook w:val="04A0"/>
        </w:tblPrEx>
        <w:tc>
          <w:tcPr>
            <w:tcW w:w="4503" w:type="dxa"/>
          </w:tcPr>
          <w:p w:rsidR="00C741FE" w:rsidRPr="00C741FE" w:rsidP="00C741FE">
            <w:pPr>
              <w:spacing w:after="1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Art. 5º (...) </w:t>
            </w:r>
          </w:p>
          <w:p w:rsidR="00C741FE" w:rsidRPr="00C741FE" w:rsidP="00C741FE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(...) </w:t>
            </w:r>
          </w:p>
          <w:p w:rsidR="00C741FE" w:rsidRPr="00C741FE" w:rsidP="00C741FE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§ 4º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(...) </w:t>
            </w:r>
          </w:p>
          <w:p w:rsidR="00C741FE" w:rsidRPr="00C741FE" w:rsidP="00C741FE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(...) </w:t>
            </w:r>
          </w:p>
          <w:p w:rsidR="00C278F1" w:rsidRPr="00C741FE" w:rsidP="00C278F1">
            <w:pPr>
              <w:spacing w:after="120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shd w:val="clear" w:color="auto" w:fill="FFFFFF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III – descrição do atendimento aos critérios técnicos de instalação, manutenção e retirada do parklet previstos nesta Lei e na Legislação aplicável, observando às normas de acessibilidade e diretrizes estabelecidas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pelas Secretarias Municipais de Mobilidade Urbana, Obras e Serviços Públicos, Planejamento e Meio Ambiente e Saúde, quando o caso.</w:t>
            </w:r>
          </w:p>
        </w:tc>
        <w:tc>
          <w:tcPr>
            <w:tcW w:w="4394" w:type="dxa"/>
          </w:tcPr>
          <w:p w:rsidR="000144A5" w:rsidRPr="00C741FE" w:rsidP="00C741FE">
            <w:pPr>
              <w:spacing w:after="120"/>
              <w:ind w:left="175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Art. 5º (...) </w:t>
            </w:r>
          </w:p>
          <w:p w:rsidR="000144A5" w:rsidRPr="00C741FE" w:rsidP="00C741FE">
            <w:pPr>
              <w:spacing w:after="120"/>
              <w:ind w:left="17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(...) </w:t>
            </w:r>
          </w:p>
          <w:p w:rsidR="000144A5" w:rsidRPr="00C741FE" w:rsidP="00C741FE">
            <w:pPr>
              <w:spacing w:after="120"/>
              <w:ind w:left="17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§ 4º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(...) </w:t>
            </w:r>
          </w:p>
          <w:p w:rsidR="000144A5" w:rsidRPr="00C741FE" w:rsidP="00C741FE">
            <w:pPr>
              <w:spacing w:after="120"/>
              <w:ind w:left="17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(...) </w:t>
            </w:r>
          </w:p>
          <w:p w:rsidR="00FD647C" w:rsidRPr="00C741FE" w:rsidP="00C741FE">
            <w:pPr>
              <w:spacing w:after="120"/>
              <w:ind w:left="17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III</w:t>
            </w:r>
            <w:r w:rsidRPr="00C741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descrição do atendimento aos critérios técnicos de instalação, manutenção e retirada do parklet previstos nesta Lei e na Legislação aplicável, observando às normas de acessibilidade e diretrizes estabelecidas </w:t>
            </w:r>
            <w:r w:rsidRPr="00C741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pelos órgãos públicos municipais competentes.</w:t>
            </w:r>
          </w:p>
        </w:tc>
      </w:tr>
    </w:tbl>
    <w:p w:rsidR="003C269B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A779B8" w:rsidRPr="001C49E1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C49E1">
        <w:rPr>
          <w:rFonts w:asciiTheme="minorHAnsi" w:hAnsiTheme="minorHAnsi" w:cstheme="minorHAnsi"/>
          <w:i/>
          <w:color w:val="auto"/>
        </w:rPr>
        <w:t>Ab initio</w:t>
      </w:r>
      <w:r w:rsidRPr="001C49E1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C49E1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Outrossim</w:t>
      </w:r>
      <w:r w:rsidRPr="001C49E1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C49E1">
        <w:rPr>
          <w:rFonts w:asciiTheme="minorHAnsi" w:hAnsiTheme="minorHAnsi" w:cstheme="minorHAnsi"/>
          <w:b/>
          <w:szCs w:val="24"/>
        </w:rPr>
        <w:t>não tem força vinculante,</w:t>
      </w:r>
      <w:r w:rsidRPr="001C49E1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Pr="001C49E1" w:rsidR="006D0DE0">
        <w:rPr>
          <w:rFonts w:asciiTheme="minorHAnsi" w:hAnsiTheme="minorHAnsi" w:cstheme="minorHAnsi"/>
          <w:szCs w:val="24"/>
        </w:rPr>
        <w:t xml:space="preserve"> </w:t>
      </w:r>
      <w:r w:rsidRPr="001C49E1">
        <w:rPr>
          <w:rFonts w:asciiTheme="minorHAnsi" w:hAnsiTheme="minorHAnsi" w:cstheme="minorHAnsi"/>
        </w:rPr>
        <w:t xml:space="preserve">Nesse sentido é o entendimento do </w:t>
      </w:r>
      <w:r w:rsidRPr="001C49E1" w:rsidR="007E38B4">
        <w:rPr>
          <w:rFonts w:asciiTheme="minorHAnsi" w:hAnsiTheme="minorHAnsi" w:cstheme="minorHAnsi"/>
        </w:rPr>
        <w:t xml:space="preserve">C. </w:t>
      </w:r>
      <w:r w:rsidRPr="001C49E1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C49E1" w:rsidR="001A7907">
        <w:rPr>
          <w:rFonts w:asciiTheme="minorHAnsi" w:hAnsiTheme="minorHAnsi" w:cstheme="minorHAnsi"/>
        </w:rPr>
        <w:t>.</w:t>
      </w:r>
    </w:p>
    <w:p w:rsidR="00A779B8" w:rsidRPr="001C49E1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C49E1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C49E1" w:rsidR="007E38B4">
        <w:rPr>
          <w:rFonts w:eastAsia="Calibri" w:asciiTheme="minorHAnsi" w:hAnsiTheme="minorHAnsi" w:cstheme="minorHAnsi"/>
          <w:szCs w:val="24"/>
        </w:rPr>
        <w:t>, passamos à</w:t>
      </w:r>
      <w:r w:rsidRPr="001C49E1">
        <w:rPr>
          <w:rFonts w:eastAsia="Calibri" w:asciiTheme="minorHAnsi" w:hAnsiTheme="minorHAnsi" w:cstheme="minorHAnsi"/>
          <w:szCs w:val="24"/>
        </w:rPr>
        <w:t xml:space="preserve"> </w:t>
      </w:r>
      <w:r w:rsidRPr="001C49E1">
        <w:rPr>
          <w:rFonts w:eastAsia="Calibri" w:asciiTheme="minorHAnsi" w:hAnsiTheme="minorHAnsi" w:cstheme="minorHAnsi"/>
          <w:b/>
          <w:szCs w:val="24"/>
        </w:rPr>
        <w:t>análise técnica</w:t>
      </w:r>
      <w:r w:rsidRPr="001C49E1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C49E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No que tange aos projetos de emendas o Regimento Interno desta Casa de Leis assim estabelece: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140. </w:t>
      </w:r>
      <w:r w:rsidRPr="001C49E1">
        <w:rPr>
          <w:rFonts w:asciiTheme="minorHAnsi" w:hAnsiTheme="minorHAnsi" w:cstheme="minorHAns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5º. A emenda apresentada à outra emenda denomina-se subemenda.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Art. 141. </w:t>
      </w:r>
      <w:r w:rsidRPr="001C49E1">
        <w:rPr>
          <w:rFonts w:asciiTheme="minorHAnsi" w:hAnsiTheme="minorHAnsi" w:cstheme="minorHAns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 xml:space="preserve">§ 1º. O autor do projeto que receber substitutivo ou </w:t>
      </w:r>
      <w:r w:rsidRPr="001C49E1">
        <w:rPr>
          <w:rFonts w:asciiTheme="minorHAnsi" w:hAnsiTheme="minorHAnsi" w:cstheme="minorHAnsi"/>
          <w:i/>
          <w:sz w:val="22"/>
          <w:szCs w:val="22"/>
        </w:rPr>
        <w:t>emenda estranhos</w:t>
      </w:r>
      <w:r w:rsidRPr="001C49E1">
        <w:rPr>
          <w:rFonts w:asciiTheme="minorHAnsi" w:hAnsiTheme="minorHAnsi" w:cstheme="minorHAns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C49E1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49E1">
        <w:rPr>
          <w:rFonts w:asciiTheme="minorHAnsi" w:hAnsiTheme="minorHAnsi" w:cstheme="minorHAns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1C49E1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A779B8" w:rsidRPr="001C49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 xml:space="preserve"> Destarte, verifica-se que o projeto de emenda atende aos dispositivos do Regimento Interno da Câmara, não havendo óbice regimental na sua tramitação e</w:t>
      </w:r>
      <w:r w:rsidRPr="001C49E1" w:rsidR="00DE4F3E">
        <w:rPr>
          <w:rFonts w:asciiTheme="minorHAnsi" w:hAnsiTheme="minorHAnsi" w:cstheme="minorHAnsi"/>
          <w:szCs w:val="24"/>
        </w:rPr>
        <w:t>, quanto à matéria</w:t>
      </w:r>
      <w:r w:rsidRPr="001C49E1" w:rsidR="00FF419B">
        <w:rPr>
          <w:rFonts w:asciiTheme="minorHAnsi" w:hAnsiTheme="minorHAnsi" w:cstheme="minorHAnsi"/>
          <w:szCs w:val="24"/>
        </w:rPr>
        <w:t>, concluímos pela constitucionalidade do</w:t>
      </w:r>
      <w:r w:rsidR="00444BC0">
        <w:rPr>
          <w:rFonts w:asciiTheme="minorHAnsi" w:hAnsiTheme="minorHAnsi" w:cstheme="minorHAnsi"/>
          <w:szCs w:val="24"/>
        </w:rPr>
        <w:t xml:space="preserve"> projeto que se limita a propor</w:t>
      </w:r>
      <w:r w:rsidR="00B3376B">
        <w:rPr>
          <w:rFonts w:asciiTheme="minorHAnsi" w:hAnsiTheme="minorHAnsi" w:cstheme="minorHAnsi"/>
          <w:szCs w:val="24"/>
        </w:rPr>
        <w:t xml:space="preserve"> </w:t>
      </w:r>
      <w:r w:rsidR="00444BC0">
        <w:rPr>
          <w:rFonts w:asciiTheme="minorHAnsi" w:hAnsiTheme="minorHAnsi" w:cstheme="minorHAnsi"/>
          <w:szCs w:val="24"/>
        </w:rPr>
        <w:t>alteração</w:t>
      </w:r>
      <w:r w:rsidRPr="001C49E1" w:rsidR="00FF419B">
        <w:rPr>
          <w:rFonts w:asciiTheme="minorHAnsi" w:hAnsiTheme="minorHAnsi" w:cstheme="minorHAnsi"/>
          <w:szCs w:val="24"/>
        </w:rPr>
        <w:t xml:space="preserve"> recomendada no </w:t>
      </w:r>
      <w:r w:rsidRPr="001C49E1" w:rsidR="00FF419B">
        <w:rPr>
          <w:rFonts w:asciiTheme="minorHAnsi" w:hAnsiTheme="minorHAnsi" w:cstheme="minorHAnsi"/>
          <w:szCs w:val="24"/>
        </w:rPr>
        <w:t>r.</w:t>
      </w:r>
      <w:r w:rsidRPr="001C49E1" w:rsidR="00FF419B">
        <w:rPr>
          <w:rFonts w:asciiTheme="minorHAnsi" w:hAnsiTheme="minorHAnsi" w:cstheme="minorHAnsi"/>
          <w:szCs w:val="24"/>
        </w:rPr>
        <w:t xml:space="preserve"> Parecer Jurídico nº </w:t>
      </w:r>
      <w:r w:rsidR="000144A5">
        <w:rPr>
          <w:rFonts w:asciiTheme="minorHAnsi" w:hAnsiTheme="minorHAnsi" w:cstheme="minorHAnsi"/>
          <w:szCs w:val="24"/>
        </w:rPr>
        <w:t>057</w:t>
      </w:r>
      <w:r w:rsidRPr="001C49E1" w:rsidR="00FF419B">
        <w:rPr>
          <w:rFonts w:asciiTheme="minorHAnsi" w:hAnsiTheme="minorHAnsi" w:cstheme="minorHAnsi"/>
          <w:szCs w:val="24"/>
        </w:rPr>
        <w:t>/202</w:t>
      </w:r>
      <w:r w:rsidR="000144A5">
        <w:rPr>
          <w:rFonts w:asciiTheme="minorHAnsi" w:hAnsiTheme="minorHAnsi" w:cstheme="minorHAnsi"/>
          <w:szCs w:val="24"/>
        </w:rPr>
        <w:t>3</w:t>
      </w:r>
      <w:r w:rsidRPr="001C49E1" w:rsidR="00FF419B">
        <w:rPr>
          <w:rFonts w:asciiTheme="minorHAnsi" w:hAnsiTheme="minorHAnsi" w:cstheme="minorHAnsi"/>
          <w:szCs w:val="24"/>
        </w:rPr>
        <w:t>.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721F99">
        <w:rPr>
          <w:rFonts w:asciiTheme="minorHAnsi" w:hAnsiTheme="minorHAnsi" w:cstheme="minorHAnsi"/>
          <w:szCs w:val="24"/>
        </w:rPr>
        <w:t>No exame do</w:t>
      </w:r>
      <w:r w:rsidRPr="001C49E1" w:rsidR="001A7907">
        <w:rPr>
          <w:rFonts w:asciiTheme="minorHAnsi" w:hAnsiTheme="minorHAnsi" w:cstheme="minorHAnsi"/>
          <w:szCs w:val="24"/>
        </w:rPr>
        <w:t xml:space="preserve"> mérito</w:t>
      </w:r>
      <w:r w:rsidRPr="001C49E1">
        <w:rPr>
          <w:rFonts w:asciiTheme="minorHAnsi" w:hAnsiTheme="minorHAnsi" w:cstheme="minorHAnsi"/>
          <w:szCs w:val="24"/>
        </w:rPr>
        <w:t xml:space="preserve"> o</w:t>
      </w:r>
      <w:r w:rsidRPr="001C49E1" w:rsidR="00E85CA4">
        <w:rPr>
          <w:rFonts w:asciiTheme="minorHAnsi" w:hAnsiTheme="minorHAnsi" w:cstheme="minorHAnsi"/>
          <w:szCs w:val="24"/>
        </w:rPr>
        <w:t xml:space="preserve"> Plenário é</w:t>
      </w:r>
      <w:r w:rsidRPr="001C49E1">
        <w:rPr>
          <w:rFonts w:asciiTheme="minorHAnsi" w:hAnsiTheme="minorHAnsi" w:cstheme="minorHAnsi"/>
          <w:szCs w:val="24"/>
        </w:rPr>
        <w:t xml:space="preserve"> </w:t>
      </w:r>
      <w:r w:rsidRPr="001C49E1" w:rsidR="00E85CA4">
        <w:rPr>
          <w:rFonts w:asciiTheme="minorHAnsi" w:hAnsiTheme="minorHAnsi" w:cstheme="minorHAnsi"/>
          <w:szCs w:val="24"/>
        </w:rPr>
        <w:t>s</w:t>
      </w:r>
      <w:r w:rsidRPr="001C49E1">
        <w:rPr>
          <w:rFonts w:asciiTheme="minorHAnsi" w:hAnsiTheme="minorHAnsi" w:cstheme="minorHAnsi"/>
          <w:szCs w:val="24"/>
        </w:rPr>
        <w:t>oberano</w:t>
      </w:r>
      <w:r w:rsidRPr="001C49E1" w:rsidR="00E85CA4">
        <w:rPr>
          <w:rFonts w:asciiTheme="minorHAnsi" w:hAnsiTheme="minorHAnsi" w:cstheme="minorHAnsi"/>
          <w:szCs w:val="24"/>
        </w:rPr>
        <w:t>.</w:t>
      </w:r>
    </w:p>
    <w:p w:rsidR="00A779B8" w:rsidRPr="001C49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É o parecer, a superior consideração.</w:t>
      </w:r>
    </w:p>
    <w:p w:rsidR="00A779B8" w:rsidRPr="001C49E1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C49E1">
        <w:rPr>
          <w:rFonts w:asciiTheme="minorHAnsi" w:hAnsiTheme="minorHAnsi" w:cstheme="minorHAnsi"/>
          <w:szCs w:val="24"/>
        </w:rPr>
        <w:t>Procuradoria</w:t>
      </w:r>
      <w:r w:rsidR="000144A5">
        <w:rPr>
          <w:rFonts w:asciiTheme="minorHAnsi" w:hAnsiTheme="minorHAnsi" w:cstheme="minorHAnsi"/>
          <w:szCs w:val="24"/>
        </w:rPr>
        <w:t>, 10</w:t>
      </w:r>
      <w:r w:rsidRPr="001C49E1" w:rsidR="001A7907">
        <w:rPr>
          <w:rFonts w:asciiTheme="minorHAnsi" w:hAnsiTheme="minorHAnsi" w:cstheme="minorHAnsi"/>
          <w:szCs w:val="24"/>
        </w:rPr>
        <w:t xml:space="preserve"> de março</w:t>
      </w:r>
      <w:r w:rsidRPr="001C49E1">
        <w:rPr>
          <w:rFonts w:asciiTheme="minorHAnsi" w:hAnsiTheme="minorHAnsi" w:cstheme="minorHAnsi"/>
          <w:szCs w:val="24"/>
        </w:rPr>
        <w:t xml:space="preserve"> de 202</w:t>
      </w:r>
      <w:r w:rsidRPr="001C49E1" w:rsidR="007D2103">
        <w:rPr>
          <w:rFonts w:asciiTheme="minorHAnsi" w:hAnsiTheme="minorHAnsi" w:cstheme="minorHAnsi"/>
          <w:szCs w:val="24"/>
        </w:rPr>
        <w:t>3</w:t>
      </w:r>
      <w:r w:rsidRPr="001C49E1">
        <w:rPr>
          <w:rFonts w:asciiTheme="minorHAnsi" w:hAnsiTheme="minorHAnsi" w:cstheme="minorHAnsi"/>
          <w:szCs w:val="24"/>
        </w:rPr>
        <w:t>.</w:t>
      </w:r>
    </w:p>
    <w:p w:rsidR="00F66D55" w:rsidRPr="001C49E1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6D0DE0" w:rsidRPr="001C49E1" w:rsidP="001A7907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3C269B">
          <w:headerReference w:type="default" r:id="rId6"/>
          <w:footerReference w:type="default" r:id="rId7"/>
          <w:pgSz w:w="11906" w:h="16838"/>
          <w:pgMar w:top="2381" w:right="1701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C49E1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C49E1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C49E1" w:rsidP="00D92B73">
      <w:pPr>
        <w:pStyle w:val="BodyText"/>
        <w:spacing w:after="0" w:line="240" w:lineRule="auto"/>
        <w:jc w:val="center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  <w:szCs w:val="24"/>
        </w:rPr>
        <w:t>Assinado digitalmente</w:t>
      </w:r>
    </w:p>
    <w:sectPr w:rsidSect="001A790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144A5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144A5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144A5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144A5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144A5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77A98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77A98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144A5">
      <w:pPr>
        <w:spacing w:after="0" w:line="240" w:lineRule="auto"/>
      </w:pPr>
      <w:r>
        <w:separator/>
      </w:r>
    </w:p>
  </w:footnote>
  <w:footnote w:type="continuationSeparator" w:id="1">
    <w:p w:rsidR="000144A5">
      <w:pPr>
        <w:spacing w:after="0" w:line="240" w:lineRule="auto"/>
      </w:pPr>
      <w:r>
        <w:continuationSeparator/>
      </w:r>
    </w:p>
  </w:footnote>
  <w:footnote w:id="2">
    <w:p w:rsidR="000144A5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4A5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4A5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01212288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361774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C49E1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66874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0144A5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144A5" w:rsidP="00A853E6">
    <w:pPr>
      <w:pStyle w:val="Header"/>
      <w:jc w:val="center"/>
      <w:rPr>
        <w:b/>
        <w:sz w:val="28"/>
        <w:lang w:val="pt-PT"/>
      </w:rPr>
    </w:pPr>
  </w:p>
  <w:p w:rsidR="000144A5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144A5"/>
    <w:rsid w:val="000269F1"/>
    <w:rsid w:val="001121D0"/>
    <w:rsid w:val="00184C16"/>
    <w:rsid w:val="00191BF5"/>
    <w:rsid w:val="001A7907"/>
    <w:rsid w:val="001C49E1"/>
    <w:rsid w:val="00233F3C"/>
    <w:rsid w:val="002E0FA3"/>
    <w:rsid w:val="00301D5F"/>
    <w:rsid w:val="00317378"/>
    <w:rsid w:val="00363138"/>
    <w:rsid w:val="003C269B"/>
    <w:rsid w:val="0042348F"/>
    <w:rsid w:val="00444BC0"/>
    <w:rsid w:val="00482F52"/>
    <w:rsid w:val="005F4237"/>
    <w:rsid w:val="00646BC4"/>
    <w:rsid w:val="00654FE3"/>
    <w:rsid w:val="0069756F"/>
    <w:rsid w:val="006D0DE0"/>
    <w:rsid w:val="00717C0D"/>
    <w:rsid w:val="00721F99"/>
    <w:rsid w:val="00735751"/>
    <w:rsid w:val="00755425"/>
    <w:rsid w:val="007A22DF"/>
    <w:rsid w:val="007C35F0"/>
    <w:rsid w:val="007D2103"/>
    <w:rsid w:val="007E38B4"/>
    <w:rsid w:val="008A0037"/>
    <w:rsid w:val="00A76381"/>
    <w:rsid w:val="00A779B8"/>
    <w:rsid w:val="00A853E6"/>
    <w:rsid w:val="00B2260F"/>
    <w:rsid w:val="00B3376B"/>
    <w:rsid w:val="00B445C6"/>
    <w:rsid w:val="00BE027C"/>
    <w:rsid w:val="00C278F1"/>
    <w:rsid w:val="00C741FE"/>
    <w:rsid w:val="00C77A98"/>
    <w:rsid w:val="00CD5874"/>
    <w:rsid w:val="00D06E04"/>
    <w:rsid w:val="00D92B73"/>
    <w:rsid w:val="00DE4F3E"/>
    <w:rsid w:val="00E54730"/>
    <w:rsid w:val="00E80623"/>
    <w:rsid w:val="00E85CA4"/>
    <w:rsid w:val="00F07BBA"/>
    <w:rsid w:val="00F13E89"/>
    <w:rsid w:val="00F53BEF"/>
    <w:rsid w:val="00F631E3"/>
    <w:rsid w:val="00F66D55"/>
    <w:rsid w:val="00FD647C"/>
    <w:rsid w:val="00FF4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  <w:style w:type="table" w:styleId="TableGrid">
    <w:name w:val="Table Grid"/>
    <w:basedOn w:val="TableNormal"/>
    <w:uiPriority w:val="59"/>
    <w:rsid w:val="003C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4D0-CF2E-4533-B58E-58938CBB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2023-03-09T16:40:00Z</dcterms:created>
  <dcterms:modified xsi:type="dcterms:W3CDTF">2023-03-10T14:55:00Z</dcterms:modified>
</cp:coreProperties>
</file>