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D54F2" w:rsidRPr="00172937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172937">
        <w:rPr>
          <w:rFonts w:asciiTheme="minorHAnsi" w:hAnsiTheme="minorHAnsi" w:cstheme="minorHAnsi"/>
          <w:b/>
          <w:color w:val="auto"/>
        </w:rPr>
        <w:t xml:space="preserve">Parecer </w:t>
      </w:r>
      <w:r w:rsidRPr="00172937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Pr="00172937" w:rsidR="00172937">
        <w:rPr>
          <w:rFonts w:eastAsia="Times New Roman" w:asciiTheme="minorHAnsi" w:hAnsiTheme="minorHAnsi" w:cstheme="minorHAnsi"/>
          <w:b/>
          <w:color w:val="auto"/>
          <w:szCs w:val="20"/>
        </w:rPr>
        <w:t>045</w:t>
      </w:r>
      <w:r w:rsidRPr="00172937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Pr="00172937" w:rsidR="00064AD8">
        <w:rPr>
          <w:rFonts w:eastAsia="Times New Roman" w:asciiTheme="minorHAnsi" w:hAnsiTheme="minorHAnsi" w:cstheme="minorHAnsi"/>
          <w:b/>
          <w:color w:val="auto"/>
          <w:szCs w:val="20"/>
        </w:rPr>
        <w:t>3</w:t>
      </w:r>
      <w:r w:rsidRPr="00172937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064AD8">
        <w:rPr>
          <w:rFonts w:asciiTheme="minorHAnsi" w:hAnsiTheme="minorHAnsi" w:cstheme="minorHAnsi"/>
          <w:b/>
        </w:rPr>
        <w:t>017</w:t>
      </w:r>
      <w:r w:rsidRPr="00E42A2E">
        <w:rPr>
          <w:rFonts w:asciiTheme="minorHAnsi" w:hAnsiTheme="minorHAnsi" w:cstheme="minorHAnsi"/>
          <w:b/>
        </w:rPr>
        <w:t>/202</w:t>
      </w:r>
      <w:r w:rsidR="00064AD8">
        <w:rPr>
          <w:rFonts w:asciiTheme="minorHAnsi" w:hAnsiTheme="minorHAnsi" w:cstheme="minorHAnsi"/>
          <w:b/>
        </w:rPr>
        <w:t>3</w:t>
      </w:r>
      <w:r w:rsidRPr="00E42A2E">
        <w:rPr>
          <w:rFonts w:asciiTheme="minorHAnsi" w:hAnsiTheme="minorHAnsi" w:cstheme="minorHAnsi"/>
          <w:b/>
        </w:rPr>
        <w:t xml:space="preserve"> – Autoria do Poder Executivo – Dispõe sobre autorização para a</w:t>
      </w:r>
      <w:r w:rsidR="00064AD8">
        <w:rPr>
          <w:rFonts w:asciiTheme="minorHAnsi" w:hAnsiTheme="minorHAnsi" w:cstheme="minorHAnsi"/>
          <w:b/>
        </w:rPr>
        <w:t xml:space="preserve"> abertura de crédito adicional especial</w:t>
      </w:r>
      <w:r w:rsidRPr="00E42A2E">
        <w:rPr>
          <w:rFonts w:asciiTheme="minorHAnsi" w:hAnsiTheme="minorHAnsi" w:cstheme="minorHAnsi"/>
          <w:b/>
        </w:rPr>
        <w:t xml:space="preserve">, até o valor de </w:t>
      </w:r>
      <w:r w:rsidRPr="00F23DDB" w:rsidR="00F23DDB">
        <w:rPr>
          <w:rFonts w:asciiTheme="minorHAnsi" w:hAnsiTheme="minorHAnsi" w:cstheme="minorHAnsi"/>
          <w:b/>
        </w:rPr>
        <w:t xml:space="preserve">R$ </w:t>
      </w:r>
      <w:r w:rsidR="00064AD8">
        <w:rPr>
          <w:rFonts w:asciiTheme="minorHAnsi" w:hAnsiTheme="minorHAnsi" w:cstheme="minorHAnsi"/>
          <w:b/>
        </w:rPr>
        <w:t>9</w:t>
      </w:r>
      <w:r w:rsidRPr="00F23DDB" w:rsidR="00F23DDB">
        <w:rPr>
          <w:rFonts w:asciiTheme="minorHAnsi" w:hAnsiTheme="minorHAnsi" w:cstheme="minorHAnsi"/>
          <w:b/>
        </w:rPr>
        <w:t>.000,00</w:t>
      </w:r>
      <w:r w:rsidRPr="00E42A2E">
        <w:rPr>
          <w:rFonts w:asciiTheme="minorHAnsi" w:hAnsiTheme="minorHAnsi" w:cstheme="minorHAnsi"/>
          <w:b/>
        </w:rPr>
        <w:t xml:space="preserve">- Mensagem nº </w:t>
      </w:r>
      <w:r>
        <w:rPr>
          <w:rFonts w:asciiTheme="minorHAnsi" w:hAnsiTheme="minorHAnsi" w:cstheme="minorHAnsi"/>
          <w:b/>
        </w:rPr>
        <w:t>0</w:t>
      </w:r>
      <w:r w:rsidR="00064AD8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>/202</w:t>
      </w:r>
      <w:r w:rsidR="00064AD8">
        <w:rPr>
          <w:rFonts w:asciiTheme="minorHAnsi" w:hAnsiTheme="minorHAnsi" w:cstheme="minorHAnsi"/>
          <w:b/>
        </w:rPr>
        <w:t>3</w:t>
      </w:r>
      <w:r w:rsidRPr="00E42A2E">
        <w:rPr>
          <w:rFonts w:asciiTheme="minorHAnsi" w:hAnsiTheme="minorHAnsi" w:cstheme="minorHAnsi"/>
          <w:b/>
        </w:rPr>
        <w:t>.</w:t>
      </w:r>
    </w:p>
    <w:p w:rsidR="005D54F2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bookmarkStart w:id="0" w:name="_GoBack"/>
      <w:bookmarkEnd w:id="0"/>
    </w:p>
    <w:p w:rsidR="005D54F2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AF7A9A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AF7A9A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064AD8">
        <w:rPr>
          <w:rFonts w:asciiTheme="minorHAnsi" w:hAnsiTheme="minorHAnsi" w:cstheme="minorHAnsi"/>
          <w:b/>
          <w:color w:val="auto"/>
        </w:rPr>
        <w:t>Gabriel Bueno</w:t>
      </w:r>
    </w:p>
    <w:p w:rsidR="005D54F2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AF7A9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A868C0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E42A2E">
        <w:rPr>
          <w:rFonts w:asciiTheme="minorHAnsi" w:hAnsiTheme="minorHAnsi" w:cstheme="minorHAnsi"/>
          <w:i/>
          <w:color w:val="auto"/>
        </w:rPr>
        <w:t xml:space="preserve"> “Dispõe sobre autorização para a abertura de crédito adicional </w:t>
      </w:r>
      <w:r w:rsidR="00064AD8">
        <w:rPr>
          <w:rFonts w:asciiTheme="minorHAnsi" w:hAnsiTheme="minorHAnsi" w:cstheme="minorHAnsi"/>
          <w:i/>
          <w:color w:val="auto"/>
        </w:rPr>
        <w:t>especial</w:t>
      </w:r>
      <w:r w:rsidRPr="00E42A2E">
        <w:rPr>
          <w:rFonts w:asciiTheme="minorHAnsi" w:hAnsiTheme="minorHAnsi" w:cstheme="minorHAnsi"/>
          <w:i/>
          <w:color w:val="auto"/>
        </w:rPr>
        <w:t>, até o valor de</w:t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F23DDB" w:rsidR="00F23DDB">
        <w:rPr>
          <w:rFonts w:asciiTheme="minorHAnsi" w:hAnsiTheme="minorHAnsi" w:cstheme="minorHAnsi"/>
          <w:i/>
          <w:color w:val="auto"/>
        </w:rPr>
        <w:t xml:space="preserve">R$ </w:t>
      </w:r>
      <w:r w:rsidR="00064AD8">
        <w:rPr>
          <w:rFonts w:asciiTheme="minorHAnsi" w:hAnsiTheme="minorHAnsi" w:cstheme="minorHAnsi"/>
          <w:i/>
          <w:color w:val="auto"/>
        </w:rPr>
        <w:t>9</w:t>
      </w:r>
      <w:r w:rsidRPr="00F23DDB" w:rsidR="00F23DDB">
        <w:rPr>
          <w:rFonts w:asciiTheme="minorHAnsi" w:hAnsiTheme="minorHAnsi" w:cstheme="minorHAnsi"/>
          <w:i/>
          <w:color w:val="auto"/>
        </w:rPr>
        <w:t>.000,00</w:t>
      </w:r>
      <w:r w:rsidRPr="00E42A2E">
        <w:rPr>
          <w:rFonts w:asciiTheme="minorHAnsi" w:hAnsiTheme="minorHAnsi" w:cstheme="minorHAnsi"/>
          <w:i/>
          <w:color w:val="auto"/>
        </w:rPr>
        <w:t>”,</w:t>
      </w:r>
      <w:r w:rsidR="00064AD8">
        <w:rPr>
          <w:rFonts w:asciiTheme="minorHAnsi" w:hAnsiTheme="minorHAnsi" w:cstheme="minorHAnsi"/>
          <w:color w:val="auto"/>
        </w:rPr>
        <w:t xml:space="preserve"> destinado à </w:t>
      </w:r>
      <w:r w:rsidRPr="00E42A2E">
        <w:rPr>
          <w:rFonts w:asciiTheme="minorHAnsi" w:hAnsiTheme="minorHAnsi" w:cstheme="minorHAnsi"/>
          <w:color w:val="auto"/>
        </w:rPr>
        <w:t xml:space="preserve">dotação orçamentária da Secretaria </w:t>
      </w:r>
      <w:r w:rsidR="00064AD8">
        <w:rPr>
          <w:rFonts w:asciiTheme="minorHAnsi" w:hAnsiTheme="minorHAnsi" w:cstheme="minorHAnsi"/>
          <w:color w:val="auto"/>
        </w:rPr>
        <w:t xml:space="preserve">da </w:t>
      </w:r>
      <w:r w:rsidR="001E6901">
        <w:rPr>
          <w:rFonts w:asciiTheme="minorHAnsi" w:hAnsiTheme="minorHAnsi" w:cstheme="minorHAnsi"/>
          <w:color w:val="auto"/>
        </w:rPr>
        <w:t>Saúde,</w:t>
      </w:r>
      <w:r w:rsidR="00B97636">
        <w:rPr>
          <w:rFonts w:asciiTheme="minorHAnsi" w:hAnsiTheme="minorHAnsi" w:cstheme="minorHAnsi"/>
          <w:color w:val="auto"/>
        </w:rPr>
        <w:t xml:space="preserve"> para</w:t>
      </w:r>
      <w:r w:rsidRPr="00064AD8" w:rsidR="00064AD8">
        <w:rPr>
          <w:rFonts w:asciiTheme="minorHAnsi" w:hAnsiTheme="minorHAnsi" w:cstheme="minorHAnsi"/>
          <w:color w:val="auto"/>
        </w:rPr>
        <w:t xml:space="preserve"> a execução de processo licitatório em processo de homologação no exercício de 2023</w:t>
      </w:r>
      <w:r w:rsidR="00064AD8">
        <w:rPr>
          <w:rFonts w:asciiTheme="minorHAnsi" w:hAnsiTheme="minorHAnsi" w:cstheme="minorHAnsi"/>
          <w:color w:val="auto"/>
        </w:rPr>
        <w:t>, conforme consta da mensagem do projeto</w:t>
      </w:r>
      <w:r w:rsidRPr="00B97636" w:rsidR="00B97636">
        <w:rPr>
          <w:rFonts w:asciiTheme="minorHAnsi" w:hAnsiTheme="minorHAnsi" w:cstheme="minorHAnsi"/>
          <w:color w:val="auto"/>
        </w:rPr>
        <w:t>.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 xml:space="preserve">Dada </w:t>
      </w:r>
      <w:r w:rsidRPr="00E42A2E">
        <w:rPr>
          <w:rFonts w:asciiTheme="minorHAnsi" w:hAnsiTheme="minorHAnsi" w:cstheme="minorHAnsi"/>
          <w:color w:val="auto"/>
          <w:u w:val="single"/>
        </w:rPr>
        <w:t>a</w:t>
      </w:r>
      <w:r w:rsidRPr="00E42A2E">
        <w:rPr>
          <w:rFonts w:asciiTheme="minorHAnsi" w:hAnsiTheme="minorHAnsi" w:cstheme="minorHAnsi"/>
          <w:color w:val="auto"/>
          <w:u w:val="single"/>
        </w:rPr>
        <w:t xml:space="preserve"> solicitação de parecer jurídico, em análise estritamente jurídica, não incidindo sobre quaisquer aspectos financeiros, orçamentários e contábeis, temos o que segue.</w:t>
      </w:r>
    </w:p>
    <w:p w:rsidR="005D54F2" w:rsidRPr="00E42A2E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  <w:r w:rsidR="00AF7A9A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</w:rPr>
        <w:t xml:space="preserve">Outrossim, ressalta-se que a opinião jurídica exarada neste parecer não tem força vinculante, sendo meramente opinativo </w:t>
      </w:r>
      <w:r w:rsidRPr="00E42A2E">
        <w:rPr>
          <w:rFonts w:asciiTheme="minorHAnsi" w:hAnsiTheme="minorHAnsi" w:cstheme="minorHAnsi"/>
        </w:rPr>
        <w:t>não fundamentando decisão proferida pelas Comissões e/ou nobres vereadores.</w:t>
      </w:r>
      <w:r w:rsidR="00AF7A9A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>Nesse sentido é o entendimento do Supremo Tribunal Federal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="00AF7A9A">
        <w:rPr>
          <w:rFonts w:asciiTheme="minorHAnsi" w:hAnsiTheme="minorHAnsi" w:cstheme="minorHAnsi"/>
          <w:color w:val="auto"/>
        </w:rPr>
        <w:t>.</w:t>
      </w:r>
    </w:p>
    <w:p w:rsidR="005D54F2" w:rsidP="005D54F2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inciso V </w:t>
      </w:r>
      <w:r w:rsidRPr="00E42A2E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DD6D04" w:rsidRPr="00DD6D04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1" w:name="art41"/>
      <w:bookmarkEnd w:id="1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2" w:name="art41i"/>
      <w:bookmarkEnd w:id="2"/>
    </w:p>
    <w:p w:rsidR="005D54F2" w:rsidRPr="00064AD8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4AD8">
        <w:rPr>
          <w:rFonts w:asciiTheme="minorHAnsi" w:hAnsiTheme="minorHAnsi" w:cstheme="minorHAnsi"/>
          <w:i/>
          <w:sz w:val="22"/>
          <w:szCs w:val="22"/>
        </w:rPr>
        <w:t>I - suplementares, os destinados a reforço de dotação orçamentária;</w:t>
      </w:r>
    </w:p>
    <w:p w:rsidR="005D54F2" w:rsidRPr="00064AD8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64AD8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3" w:name="art41ii"/>
      <w:bookmarkEnd w:id="3"/>
      <w:r w:rsidRPr="00064AD8">
        <w:rPr>
          <w:rFonts w:asciiTheme="minorHAnsi" w:hAnsiTheme="minorHAnsi" w:cstheme="minorHAnsi"/>
          <w:b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E42A2E" w:rsidP="00DD6D04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5D54F2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I - o superávit financeiro apurado em balanço patrimonial do exercício anterior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;</w:t>
      </w:r>
      <w:bookmarkStart w:id="5" w:name="art43§1ii"/>
      <w:bookmarkEnd w:id="5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7" w:name="art43§1iv"/>
      <w:bookmarkEnd w:id="7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8" w:name="art43§2"/>
      <w:bookmarkEnd w:id="8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5D54F2" w:rsidP="005D54F2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5D54F2" w:rsidRPr="002F1EAD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 w:val="4"/>
          <w:szCs w:val="4"/>
          <w:u w:val="single"/>
        </w:rPr>
      </w:pPr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adicional suplementar far-se-á com os recursos provenientes do </w:t>
      </w:r>
      <w:r w:rsidRPr="004627C3">
        <w:rPr>
          <w:rFonts w:asciiTheme="minorHAnsi" w:hAnsiTheme="minorHAnsi" w:cstheme="minorHAnsi"/>
          <w:b/>
          <w:szCs w:val="24"/>
          <w:u w:val="single"/>
        </w:rPr>
        <w:t>superávit financeiro apurado no balanço patrimonial do exercício de 202</w:t>
      </w:r>
      <w:r w:rsidR="00064AD8">
        <w:rPr>
          <w:rFonts w:asciiTheme="minorHAnsi" w:hAnsiTheme="minorHAnsi" w:cstheme="minorHAnsi"/>
          <w:b/>
          <w:szCs w:val="24"/>
          <w:u w:val="single"/>
        </w:rPr>
        <w:t>2</w:t>
      </w:r>
      <w:r w:rsidRPr="004627C3">
        <w:rPr>
          <w:rFonts w:asciiTheme="minorHAnsi" w:hAnsiTheme="minorHAnsi" w:cstheme="minorHAnsi"/>
          <w:b/>
          <w:szCs w:val="24"/>
          <w:u w:val="single"/>
        </w:rPr>
        <w:t>,</w:t>
      </w:r>
      <w:r w:rsidRPr="00E42A2E">
        <w:rPr>
          <w:rFonts w:asciiTheme="minorHAnsi" w:hAnsiTheme="minorHAnsi" w:cstheme="minorHAnsi"/>
          <w:szCs w:val="24"/>
          <w:u w:val="single"/>
        </w:rPr>
        <w:t xml:space="preserve"> com fundamento no artigo 43, § 1°, inciso I, da Lei Federal n° 4.320, de 17 de março de 1964.</w:t>
      </w:r>
    </w:p>
    <w:p w:rsidR="005D54F2" w:rsidRPr="00E42A2E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Quanto ao superávit financeiro temos que:</w:t>
      </w:r>
    </w:p>
    <w:p w:rsidR="005D54F2" w:rsidRPr="00E42A2E" w:rsidP="005D54F2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São recursos financeiros que não se encontravam comprometidos com pagamentos futuros no encerramento do exercício fiscal.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Essa sobra de caixa ocorre, por exemplo, pelo </w:t>
      </w:r>
      <w:r w:rsidRPr="00E42A2E">
        <w:rPr>
          <w:rFonts w:asciiTheme="minorHAnsi" w:hAnsiTheme="minorHAnsi" w:cstheme="minorHAnsi"/>
          <w:i/>
          <w:sz w:val="22"/>
          <w:szCs w:val="22"/>
        </w:rPr>
        <w:t>cancelamento de </w:t>
      </w:r>
      <w:hyperlink r:id="rId8" w:tgtFrame="_blank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restos a pagar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 xml:space="preserve"> ou por superávit orçamentário. De acordo com a Lei 4.320/64, os saldos de caixa não comprometidos ao final de cada exercício podem ser utilizados como fonte de financiamento para a abertura de créditos orçamentários adicionais no exercício seguinte. </w:t>
      </w: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A apuração do superávit financeiro é feita pelo confronto entre os totais do ativo financeiro e do passivo financeiro, constante do balanço patrimonial do exercício anterior.</w:t>
      </w:r>
    </w:p>
    <w:p w:rsidR="005D54F2" w:rsidRPr="00E42A2E" w:rsidP="005D54F2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Link: </w:t>
      </w:r>
      <w:hyperlink r:id="rId9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https://www.camara.leg.br/noticias/127899-superavit-financeiro/</w:t>
        </w:r>
      </w:hyperlink>
    </w:p>
    <w:p w:rsidR="005D54F2" w:rsidRPr="00774A87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b/>
          <w:u w:val="single"/>
        </w:rPr>
      </w:pPr>
      <w:r w:rsidRPr="00774A87">
        <w:rPr>
          <w:rFonts w:asciiTheme="minorHAnsi" w:hAnsiTheme="minorHAnsi" w:cstheme="minorHAnsi"/>
          <w:b/>
          <w:u w:val="single"/>
        </w:rPr>
        <w:t xml:space="preserve">No entanto, como no caso em apreço o Projeto não veio acompanhado do balanço patrimonial, sugerimos caso entendam necessário, requerer o demonstrativo do balanço patrimonial junto ao Executivo a fim comprovar a justificativa técnica para a </w:t>
      </w:r>
      <w:r w:rsidR="00064AD8">
        <w:rPr>
          <w:rFonts w:asciiTheme="minorHAnsi" w:hAnsiTheme="minorHAnsi" w:cstheme="minorHAnsi"/>
          <w:b/>
          <w:u w:val="single"/>
        </w:rPr>
        <w:t>abertura do crédito.</w:t>
      </w:r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>
        <w:rPr>
          <w:rFonts w:asciiTheme="minorHAnsi" w:hAnsiTheme="minorHAnsi" w:cstheme="minorHAnsi"/>
          <w:szCs w:val="24"/>
        </w:rPr>
        <w:t>a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III - especificação detalhada e comprovada acerca do superávit financeiro, quando houver;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E42A2E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</w:p>
    <w:p w:rsidR="005D54F2" w:rsidRPr="00E42A2E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Neste aspecto, insta salientar que não consta do projeto a comprovação do superávit financeiro de que trata a legislação local supracitada.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RPr="00E42A2E" w:rsidP="005D54F2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4F2" w:rsidRPr="00E42A2E" w:rsidP="005D54F2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 Ante o exposto, sob o aspecto estritamente jurídico, a proposta reúne condições de constitucionalidade, </w:t>
      </w:r>
      <w:r>
        <w:rPr>
          <w:rFonts w:asciiTheme="minorHAnsi" w:hAnsiTheme="minorHAnsi" w:cstheme="minorHAnsi"/>
        </w:rPr>
        <w:t>todavia</w:t>
      </w:r>
      <w:r w:rsidRPr="00E42A2E">
        <w:rPr>
          <w:rFonts w:asciiTheme="minorHAnsi" w:hAnsiTheme="minorHAnsi" w:cstheme="minorHAnsi"/>
        </w:rPr>
        <w:t>, quanto à legalidade atentamos para a necessidade de comprovação do superávit financeiro, consoante fundamento</w:t>
      </w:r>
      <w:r>
        <w:rPr>
          <w:rFonts w:asciiTheme="minorHAnsi" w:hAnsiTheme="minorHAnsi" w:cstheme="minorHAnsi"/>
        </w:rPr>
        <w:t>s</w:t>
      </w:r>
      <w:r w:rsidRPr="00E42A2E">
        <w:rPr>
          <w:rFonts w:asciiTheme="minorHAnsi" w:hAnsiTheme="minorHAnsi" w:cstheme="minorHAnsi"/>
        </w:rPr>
        <w:t xml:space="preserve"> articulado</w:t>
      </w:r>
      <w:r>
        <w:rPr>
          <w:rFonts w:asciiTheme="minorHAnsi" w:hAnsiTheme="minorHAnsi" w:cstheme="minorHAnsi"/>
        </w:rPr>
        <w:t>s</w:t>
      </w:r>
      <w:r w:rsidRPr="000256DE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</w:rPr>
        <w:t xml:space="preserve">acima. Com relação aos aspectos financeiro, orçamentário e contábil, nos </w:t>
      </w:r>
      <w:r w:rsidRPr="00E42A2E">
        <w:rPr>
          <w:rFonts w:asciiTheme="minorHAnsi" w:hAnsiTheme="minorHAnsi" w:cstheme="minorHAnsi"/>
        </w:rPr>
        <w:t>termos do art. 39, do Regimento Interno incumbe à Comissão de Finanças e Orçamento a emissão de parecer. No mérito, o Plenário é soberano.</w:t>
      </w:r>
    </w:p>
    <w:p w:rsidR="005D54F2" w:rsidRPr="00E42A2E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>É o parecer.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 xml:space="preserve">Procuradoria, </w:t>
      </w:r>
      <w:r w:rsidR="00F23DDB">
        <w:rPr>
          <w:rFonts w:asciiTheme="minorHAnsi" w:hAnsiTheme="minorHAnsi" w:cstheme="minorHAnsi"/>
          <w:szCs w:val="24"/>
        </w:rPr>
        <w:t>1</w:t>
      </w:r>
      <w:r w:rsidR="00064AD8">
        <w:rPr>
          <w:rFonts w:asciiTheme="minorHAnsi" w:hAnsiTheme="minorHAnsi" w:cstheme="minorHAnsi"/>
          <w:szCs w:val="24"/>
        </w:rPr>
        <w:t>7</w:t>
      </w:r>
      <w:r w:rsidRPr="00E42A2E">
        <w:rPr>
          <w:rFonts w:asciiTheme="minorHAnsi" w:hAnsiTheme="minorHAnsi" w:cstheme="minorHAnsi"/>
          <w:szCs w:val="24"/>
        </w:rPr>
        <w:t xml:space="preserve"> de </w:t>
      </w:r>
      <w:r w:rsidR="00064AD8">
        <w:rPr>
          <w:rFonts w:asciiTheme="minorHAnsi" w:hAnsiTheme="minorHAnsi" w:cstheme="minorHAnsi"/>
          <w:szCs w:val="24"/>
        </w:rPr>
        <w:t>fevereiro</w:t>
      </w:r>
      <w:r w:rsidRPr="00E42A2E">
        <w:rPr>
          <w:rFonts w:asciiTheme="minorHAnsi" w:hAnsiTheme="minorHAnsi" w:cstheme="minorHAnsi"/>
          <w:szCs w:val="24"/>
        </w:rPr>
        <w:t xml:space="preserve"> de 202</w:t>
      </w:r>
      <w:r w:rsidR="00064AD8">
        <w:rPr>
          <w:rFonts w:asciiTheme="minorHAnsi" w:hAnsiTheme="minorHAnsi" w:cstheme="minorHAnsi"/>
          <w:szCs w:val="24"/>
        </w:rPr>
        <w:t>3</w:t>
      </w:r>
      <w:r w:rsidRPr="00E42A2E">
        <w:rPr>
          <w:rFonts w:asciiTheme="minorHAnsi" w:hAnsiTheme="minorHAnsi" w:cstheme="minorHAnsi"/>
          <w:szCs w:val="24"/>
        </w:rPr>
        <w:t>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E42A2E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5D54F2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Procuradora – OAB/SP 308.298</w:t>
      </w:r>
    </w:p>
    <w:p w:rsidR="005D54F2" w:rsidRPr="004627C3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p w:rsidR="00387C85"/>
    <w:sectPr w:rsidSect="005D54F2">
      <w:headerReference w:type="default" r:id="rId10"/>
      <w:footerReference w:type="default" r:id="rId11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871E56" w:rsidP="003F29E8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871E56" w:rsidP="00305AB4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871E56" w:rsidP="00305AB4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871E56" w:rsidP="00305AB4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72937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72937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B54FC">
      <w:pPr>
        <w:spacing w:after="0" w:line="240" w:lineRule="auto"/>
      </w:pPr>
      <w:r>
        <w:separator/>
      </w:r>
    </w:p>
  </w:footnote>
  <w:footnote w:type="continuationSeparator" w:id="1">
    <w:p w:rsidR="007B54FC">
      <w:pPr>
        <w:spacing w:after="0" w:line="240" w:lineRule="auto"/>
      </w:pPr>
      <w:r>
        <w:continuationSeparator/>
      </w:r>
    </w:p>
  </w:footnote>
  <w:footnote w:id="2">
    <w:p w:rsidR="00AF7A9A" w:rsidRPr="00AF7A9A" w:rsidP="00AF7A9A">
      <w:pPr>
        <w:pStyle w:val="Default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AF7A9A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F7A9A">
        <w:rPr>
          <w:rFonts w:asciiTheme="minorHAnsi" w:hAnsiTheme="minorHAnsi" w:cstheme="minorHAnsi"/>
          <w:sz w:val="20"/>
          <w:szCs w:val="20"/>
        </w:rPr>
        <w:t xml:space="preserve">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F7A9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E56" w:rsidP="00305AB4">
    <w:pPr>
      <w:pStyle w:val="Header"/>
      <w:jc w:val="center"/>
      <w:rPr>
        <w:b/>
        <w:sz w:val="26"/>
        <w:lang w:val="pt-PT"/>
      </w:rPr>
    </w:pPr>
  </w:p>
  <w:p w:rsidR="00871E56" w:rsidP="00305AB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E56" w:rsidP="00305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6625765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986253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855807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71E56" w:rsidP="00305AB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618870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145105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871E56" w:rsidP="00305AB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871E56" w:rsidP="00305AB4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871E56" w:rsidP="00305AB4">
    <w:pPr>
      <w:pStyle w:val="Header"/>
    </w:pPr>
  </w:p>
  <w:p w:rsidR="00871E56" w:rsidP="00305AB4">
    <w:pPr>
      <w:pStyle w:val="Header"/>
    </w:pPr>
  </w:p>
  <w:p w:rsidR="00871E56" w:rsidRPr="00824829" w:rsidP="006D7024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256DE"/>
    <w:rsid w:val="00064AD8"/>
    <w:rsid w:val="00172937"/>
    <w:rsid w:val="001E6901"/>
    <w:rsid w:val="002F1EAD"/>
    <w:rsid w:val="00305AB4"/>
    <w:rsid w:val="00387C85"/>
    <w:rsid w:val="003F29E8"/>
    <w:rsid w:val="004627C3"/>
    <w:rsid w:val="004A1DFE"/>
    <w:rsid w:val="005D54F2"/>
    <w:rsid w:val="006D7024"/>
    <w:rsid w:val="0075196B"/>
    <w:rsid w:val="00770578"/>
    <w:rsid w:val="00774A87"/>
    <w:rsid w:val="007B4D1C"/>
    <w:rsid w:val="007B54FC"/>
    <w:rsid w:val="00824829"/>
    <w:rsid w:val="00871E56"/>
    <w:rsid w:val="00916CF0"/>
    <w:rsid w:val="00A868C0"/>
    <w:rsid w:val="00AF7A9A"/>
    <w:rsid w:val="00B97636"/>
    <w:rsid w:val="00D06A92"/>
    <w:rsid w:val="00DD6D04"/>
    <w:rsid w:val="00E42A2E"/>
    <w:rsid w:val="00F23DDB"/>
    <w:rsid w:val="00F53B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yperlink" Target="http://www2.camara.gov.br/agencia/noticias/70112.html" TargetMode="External" /><Relationship Id="rId9" Type="http://schemas.openxmlformats.org/officeDocument/2006/relationships/hyperlink" Target="https://www.camara.leg.br/noticias/127899-superavit-financeiro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2792-88E2-4EA8-8BDB-F4F008F8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1604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dcterms:created xsi:type="dcterms:W3CDTF">2023-02-17T19:48:00Z</dcterms:created>
  <dcterms:modified xsi:type="dcterms:W3CDTF">2023-02-22T11:02:00Z</dcterms:modified>
</cp:coreProperties>
</file>