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D7781C" w:rsidP="00E503EA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C750DF">
        <w:rPr>
          <w:rFonts w:asciiTheme="minorHAnsi" w:hAnsiTheme="minorHAnsi" w:cstheme="minorHAnsi"/>
          <w:b/>
          <w:color w:val="auto"/>
        </w:rPr>
        <w:t>Parecer J</w:t>
      </w:r>
      <w:r w:rsidRPr="00C750DF" w:rsidR="00E503EA">
        <w:rPr>
          <w:rFonts w:asciiTheme="minorHAnsi" w:hAnsiTheme="minorHAnsi" w:cstheme="minorHAnsi"/>
          <w:b/>
          <w:color w:val="auto"/>
        </w:rPr>
        <w:t>urídico</w:t>
      </w:r>
      <w:r w:rsidRPr="00C750DF">
        <w:rPr>
          <w:rFonts w:asciiTheme="minorHAnsi" w:hAnsiTheme="minorHAnsi" w:cstheme="minorHAnsi"/>
          <w:b/>
          <w:color w:val="auto"/>
        </w:rPr>
        <w:t xml:space="preserve"> </w:t>
      </w:r>
      <w:r w:rsidRPr="00BE0431">
        <w:rPr>
          <w:rFonts w:asciiTheme="minorHAnsi" w:hAnsiTheme="minorHAnsi" w:cstheme="minorHAnsi"/>
          <w:b/>
          <w:color w:val="auto"/>
        </w:rPr>
        <w:t xml:space="preserve">nº </w:t>
      </w:r>
      <w:r w:rsidRPr="009A42DA" w:rsidR="009A42DA">
        <w:rPr>
          <w:rFonts w:asciiTheme="minorHAnsi" w:hAnsiTheme="minorHAnsi" w:cstheme="minorHAnsi"/>
          <w:b/>
          <w:color w:val="auto"/>
        </w:rPr>
        <w:t>031</w:t>
      </w:r>
      <w:r w:rsidRPr="009A42DA" w:rsidR="00943C53">
        <w:rPr>
          <w:rFonts w:asciiTheme="minorHAnsi" w:hAnsiTheme="minorHAnsi" w:cstheme="minorHAnsi"/>
          <w:b/>
          <w:color w:val="auto"/>
        </w:rPr>
        <w:t>/</w:t>
      </w:r>
      <w:r w:rsidRPr="009A42DA">
        <w:rPr>
          <w:rFonts w:asciiTheme="minorHAnsi" w:hAnsiTheme="minorHAnsi" w:cstheme="minorHAnsi"/>
          <w:b/>
          <w:color w:val="auto"/>
        </w:rPr>
        <w:t>20</w:t>
      </w:r>
      <w:r w:rsidRPr="009A42DA" w:rsidR="00C65153">
        <w:rPr>
          <w:rFonts w:asciiTheme="minorHAnsi" w:hAnsiTheme="minorHAnsi" w:cstheme="minorHAnsi"/>
          <w:b/>
          <w:color w:val="auto"/>
        </w:rPr>
        <w:t>2</w:t>
      </w:r>
      <w:r w:rsidRPr="009A42DA" w:rsidR="00D7781C">
        <w:rPr>
          <w:rFonts w:asciiTheme="minorHAnsi" w:hAnsiTheme="minorHAnsi" w:cstheme="minorHAnsi"/>
          <w:b/>
          <w:color w:val="auto"/>
        </w:rPr>
        <w:t>3</w:t>
      </w:r>
      <w:r w:rsidRPr="009A42DA" w:rsidR="00B762CD">
        <w:rPr>
          <w:rFonts w:asciiTheme="minorHAnsi" w:hAnsiTheme="minorHAnsi" w:cstheme="minorHAnsi"/>
          <w:b/>
          <w:color w:val="auto"/>
        </w:rPr>
        <w:t>.</w:t>
      </w:r>
    </w:p>
    <w:p w:rsidR="00106ADB" w:rsidP="00B42AB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D12BA">
        <w:rPr>
          <w:rFonts w:cstheme="minorHAnsi"/>
          <w:b/>
          <w:bCs/>
          <w:sz w:val="24"/>
          <w:szCs w:val="24"/>
        </w:rPr>
        <w:t xml:space="preserve">Assunto: </w:t>
      </w:r>
      <w:r w:rsidRPr="00D33A1B">
        <w:rPr>
          <w:rFonts w:cstheme="minorHAnsi"/>
          <w:b/>
          <w:bCs/>
          <w:sz w:val="24"/>
          <w:szCs w:val="24"/>
        </w:rPr>
        <w:t xml:space="preserve">Projeto de Lei nº </w:t>
      </w:r>
      <w:r w:rsidR="00FF3801">
        <w:rPr>
          <w:rFonts w:cstheme="minorHAnsi"/>
          <w:b/>
          <w:bCs/>
          <w:sz w:val="24"/>
          <w:szCs w:val="24"/>
        </w:rPr>
        <w:t>10</w:t>
      </w:r>
      <w:r w:rsidRPr="00D33A1B">
        <w:rPr>
          <w:rFonts w:cstheme="minorHAnsi"/>
          <w:b/>
          <w:bCs/>
          <w:sz w:val="24"/>
          <w:szCs w:val="24"/>
        </w:rPr>
        <w:t>/20</w:t>
      </w:r>
      <w:r w:rsidRPr="00D33A1B" w:rsidR="00C65153">
        <w:rPr>
          <w:rFonts w:cstheme="minorHAnsi"/>
          <w:b/>
          <w:bCs/>
          <w:sz w:val="24"/>
          <w:szCs w:val="24"/>
        </w:rPr>
        <w:t>2</w:t>
      </w:r>
      <w:r w:rsidRPr="00D33A1B" w:rsidR="00D7781C">
        <w:rPr>
          <w:rFonts w:cstheme="minorHAnsi"/>
          <w:b/>
          <w:bCs/>
          <w:sz w:val="24"/>
          <w:szCs w:val="24"/>
        </w:rPr>
        <w:t>3</w:t>
      </w:r>
      <w:r w:rsidRPr="00D7781C" w:rsidR="00E503EA">
        <w:rPr>
          <w:rFonts w:cstheme="minorHAnsi"/>
          <w:bCs/>
          <w:sz w:val="24"/>
          <w:szCs w:val="24"/>
        </w:rPr>
        <w:t xml:space="preserve"> – </w:t>
      </w:r>
      <w:r w:rsidR="00FF3801">
        <w:rPr>
          <w:rFonts w:cstheme="minorHAnsi"/>
          <w:bCs/>
          <w:sz w:val="24"/>
          <w:szCs w:val="24"/>
        </w:rPr>
        <w:t>D</w:t>
      </w:r>
      <w:r w:rsidRPr="00FF3801" w:rsidR="00FF3801">
        <w:rPr>
          <w:rFonts w:cstheme="minorHAnsi"/>
          <w:bCs/>
          <w:sz w:val="24"/>
          <w:szCs w:val="24"/>
        </w:rPr>
        <w:t xml:space="preserve">ispõe sobre a obrigatoriedade de exibição de vídeos educativos antidrogas nas aberturas de shows, eventos culturais e similares no </w:t>
      </w:r>
      <w:r w:rsidR="00FF3801">
        <w:rPr>
          <w:rFonts w:cstheme="minorHAnsi"/>
          <w:bCs/>
          <w:sz w:val="24"/>
          <w:szCs w:val="24"/>
        </w:rPr>
        <w:t>M</w:t>
      </w:r>
      <w:r w:rsidRPr="00FF3801" w:rsidR="00FF3801">
        <w:rPr>
          <w:rFonts w:cstheme="minorHAnsi"/>
          <w:bCs/>
          <w:sz w:val="24"/>
          <w:szCs w:val="24"/>
        </w:rPr>
        <w:t>unicípio d</w:t>
      </w:r>
      <w:r w:rsidR="00FF3801">
        <w:rPr>
          <w:rFonts w:cstheme="minorHAnsi"/>
          <w:bCs/>
          <w:sz w:val="24"/>
          <w:szCs w:val="24"/>
        </w:rPr>
        <w:t>e V</w:t>
      </w:r>
      <w:r w:rsidRPr="00FF3801" w:rsidR="00FF3801">
        <w:rPr>
          <w:rFonts w:cstheme="minorHAnsi"/>
          <w:bCs/>
          <w:sz w:val="24"/>
          <w:szCs w:val="24"/>
        </w:rPr>
        <w:t>alinhos, nos seguintes termos.</w:t>
      </w:r>
    </w:p>
    <w:p w:rsidR="00D7781C" w:rsidP="00B42AB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Autoria: </w:t>
      </w:r>
      <w:r w:rsidRPr="00FF3801" w:rsidR="00CC2312">
        <w:rPr>
          <w:rFonts w:cstheme="minorHAnsi"/>
          <w:bCs/>
          <w:sz w:val="24"/>
          <w:szCs w:val="24"/>
        </w:rPr>
        <w:t>Vereador</w:t>
      </w:r>
      <w:r w:rsidRPr="00FF3801" w:rsidR="00FF3801">
        <w:rPr>
          <w:rFonts w:cstheme="minorHAnsi"/>
          <w:bCs/>
          <w:sz w:val="24"/>
          <w:szCs w:val="24"/>
        </w:rPr>
        <w:t>a</w:t>
      </w:r>
      <w:r w:rsidRPr="00FF3801" w:rsidR="00CC2312">
        <w:rPr>
          <w:rFonts w:cstheme="minorHAnsi"/>
          <w:bCs/>
          <w:sz w:val="24"/>
          <w:szCs w:val="24"/>
        </w:rPr>
        <w:t xml:space="preserve"> </w:t>
      </w:r>
      <w:r w:rsidR="00FF3801">
        <w:rPr>
          <w:rFonts w:cstheme="minorHAnsi"/>
          <w:bCs/>
          <w:sz w:val="24"/>
          <w:szCs w:val="24"/>
        </w:rPr>
        <w:t>Simone Bellini</w:t>
      </w:r>
      <w:r w:rsidRPr="00FF3801" w:rsidR="00CC2312">
        <w:rPr>
          <w:rFonts w:cstheme="minorHAnsi"/>
          <w:bCs/>
          <w:sz w:val="24"/>
          <w:szCs w:val="24"/>
        </w:rPr>
        <w:t>.</w:t>
      </w:r>
    </w:p>
    <w:p w:rsidR="00B42AB8" w:rsidRPr="004D12BA" w:rsidP="00B42AB8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bCs/>
          <w:sz w:val="24"/>
          <w:szCs w:val="24"/>
        </w:rPr>
        <w:t xml:space="preserve">Referência: </w:t>
      </w:r>
      <w:r w:rsidRPr="00D7781C">
        <w:rPr>
          <w:rFonts w:cstheme="minorHAnsi"/>
          <w:bCs/>
          <w:sz w:val="24"/>
          <w:szCs w:val="24"/>
        </w:rPr>
        <w:t xml:space="preserve">Processo Legislativo nº </w:t>
      </w:r>
      <w:r w:rsidR="00FF3801">
        <w:rPr>
          <w:rFonts w:cstheme="minorHAnsi"/>
          <w:bCs/>
          <w:sz w:val="24"/>
          <w:szCs w:val="24"/>
        </w:rPr>
        <w:t>831</w:t>
      </w:r>
      <w:r w:rsidRPr="00D7781C" w:rsidR="00D7781C">
        <w:rPr>
          <w:rFonts w:cstheme="minorHAnsi"/>
          <w:bCs/>
          <w:sz w:val="24"/>
          <w:szCs w:val="24"/>
        </w:rPr>
        <w:t>/2023</w:t>
      </w:r>
      <w:r w:rsidRPr="00D7781C" w:rsidR="00D174CB">
        <w:rPr>
          <w:rFonts w:cstheme="minorHAnsi"/>
          <w:bCs/>
          <w:sz w:val="24"/>
          <w:szCs w:val="24"/>
        </w:rPr>
        <w:t>.</w:t>
      </w:r>
    </w:p>
    <w:p w:rsidR="00FD536E" w:rsidRPr="004D12BA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DB21D0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B06343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DB21D0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C65153" w:rsidRPr="004D12BA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4D12BA">
        <w:rPr>
          <w:rFonts w:asciiTheme="minorHAnsi" w:hAnsiTheme="minorHAnsi" w:cstheme="minorHAnsi"/>
          <w:b/>
          <w:i/>
          <w:color w:val="auto"/>
        </w:rPr>
        <w:t>À</w:t>
      </w:r>
      <w:r w:rsidRPr="004D12BA" w:rsidR="00106ADB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4D12BA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="005C5FD9">
        <w:rPr>
          <w:rFonts w:asciiTheme="minorHAnsi" w:hAnsiTheme="minorHAnsi" w:cstheme="minorHAnsi"/>
          <w:b/>
          <w:i/>
          <w:color w:val="auto"/>
        </w:rPr>
        <w:t>,</w:t>
      </w:r>
    </w:p>
    <w:p w:rsidR="0058062A" w:rsidRPr="004D12BA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4D12BA">
        <w:rPr>
          <w:rFonts w:asciiTheme="minorHAnsi" w:hAnsiTheme="minorHAnsi" w:cstheme="minorHAnsi"/>
          <w:b/>
          <w:i/>
          <w:color w:val="auto"/>
        </w:rPr>
        <w:t>Exmo.</w:t>
      </w:r>
      <w:r w:rsidR="00D33A1B">
        <w:rPr>
          <w:rFonts w:asciiTheme="minorHAnsi" w:hAnsiTheme="minorHAnsi" w:cstheme="minorHAnsi"/>
          <w:b/>
          <w:i/>
          <w:color w:val="auto"/>
        </w:rPr>
        <w:t xml:space="preserve"> </w:t>
      </w:r>
      <w:r w:rsidR="00D33A1B">
        <w:rPr>
          <w:rFonts w:asciiTheme="minorHAnsi" w:hAnsiTheme="minorHAnsi" w:cstheme="minorHAnsi"/>
          <w:b/>
          <w:i/>
          <w:color w:val="auto"/>
        </w:rPr>
        <w:t>Sr.</w:t>
      </w:r>
      <w:r w:rsidR="00D33A1B">
        <w:rPr>
          <w:rFonts w:asciiTheme="minorHAnsi" w:hAnsiTheme="minorHAnsi" w:cstheme="minorHAnsi"/>
          <w:b/>
          <w:i/>
          <w:color w:val="auto"/>
        </w:rPr>
        <w:t xml:space="preserve"> Presidente</w:t>
      </w:r>
      <w:r w:rsidRPr="004D12BA">
        <w:rPr>
          <w:rFonts w:asciiTheme="minorHAnsi" w:hAnsiTheme="minorHAnsi" w:cstheme="minorHAnsi"/>
          <w:b/>
          <w:i/>
          <w:color w:val="auto"/>
        </w:rPr>
        <w:t xml:space="preserve"> Vereador </w:t>
      </w:r>
      <w:r w:rsidR="00CC2312">
        <w:rPr>
          <w:rFonts w:asciiTheme="minorHAnsi" w:hAnsiTheme="minorHAnsi" w:cstheme="minorHAnsi"/>
          <w:b/>
          <w:i/>
          <w:color w:val="auto"/>
        </w:rPr>
        <w:t>Gabriel Bueno.</w:t>
      </w:r>
    </w:p>
    <w:p w:rsidR="00623AD7" w:rsidRPr="004D12BA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FD536E" w:rsidRPr="004D12BA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446048" w:rsidRPr="00CC2312" w:rsidP="00446048">
      <w:pPr>
        <w:spacing w:after="240" w:line="360" w:lineRule="auto"/>
        <w:ind w:firstLine="1701"/>
        <w:jc w:val="both"/>
        <w:rPr>
          <w:rFonts w:eastAsia="Times New Roman" w:cstheme="minorHAnsi"/>
          <w:color w:val="FF0000"/>
          <w:sz w:val="24"/>
          <w:szCs w:val="24"/>
          <w:lang w:eastAsia="pt-BR"/>
        </w:rPr>
      </w:pPr>
      <w:r w:rsidRPr="00CC2312">
        <w:rPr>
          <w:rFonts w:eastAsia="Times New Roman" w:cstheme="minorHAnsi"/>
          <w:sz w:val="24"/>
          <w:szCs w:val="24"/>
          <w:lang w:eastAsia="pt-BR"/>
        </w:rPr>
        <w:t xml:space="preserve">Trata-se de parecer jurídico </w:t>
      </w:r>
      <w:r w:rsidRPr="00CC2312" w:rsidR="00A21FFC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CC231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C2312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CC2312" w:rsidR="00943C53">
        <w:rPr>
          <w:rFonts w:eastAsia="Times New Roman" w:cstheme="minorHAnsi"/>
          <w:sz w:val="24"/>
          <w:szCs w:val="24"/>
          <w:lang w:eastAsia="pt-BR"/>
        </w:rPr>
        <w:t>“</w:t>
      </w:r>
      <w:r w:rsidRPr="00FF3801" w:rsidR="00FF3801">
        <w:rPr>
          <w:rFonts w:eastAsia="Times New Roman" w:cstheme="minorHAnsi"/>
          <w:i/>
          <w:sz w:val="24"/>
          <w:szCs w:val="24"/>
          <w:lang w:eastAsia="pt-BR"/>
        </w:rPr>
        <w:t>Dispõe sobre a obrigatoriedade de exibição de vídeos educativos antidrogas nas aberturas de shows, eventos culturais e similares no Município de V</w:t>
      </w:r>
      <w:r w:rsidR="00FF3801">
        <w:rPr>
          <w:rFonts w:eastAsia="Times New Roman" w:cstheme="minorHAnsi"/>
          <w:i/>
          <w:sz w:val="24"/>
          <w:szCs w:val="24"/>
          <w:lang w:eastAsia="pt-BR"/>
        </w:rPr>
        <w:t>alinhos, nos seguintes termos</w:t>
      </w:r>
      <w:r w:rsidRPr="00CC2312" w:rsidR="00943C53">
        <w:rPr>
          <w:rFonts w:eastAsia="Times New Roman" w:cstheme="minorHAnsi"/>
          <w:sz w:val="24"/>
          <w:szCs w:val="24"/>
          <w:lang w:eastAsia="pt-BR"/>
        </w:rPr>
        <w:t>”.</w:t>
      </w:r>
    </w:p>
    <w:p w:rsidR="0059608B" w:rsidP="00894426">
      <w:pPr>
        <w:tabs>
          <w:tab w:val="left" w:pos="1701"/>
        </w:tabs>
        <w:spacing w:after="12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C80CBA">
        <w:rPr>
          <w:rFonts w:eastAsia="Times New Roman" w:cstheme="minorHAnsi"/>
          <w:i/>
          <w:sz w:val="24"/>
          <w:szCs w:val="24"/>
          <w:lang w:eastAsia="pt-BR"/>
        </w:rPr>
        <w:t>Ab initio</w:t>
      </w:r>
      <w:r w:rsidRPr="00C80CBA">
        <w:rPr>
          <w:rFonts w:eastAsia="Times New Roman" w:cstheme="minorHAnsi"/>
          <w:sz w:val="24"/>
          <w:szCs w:val="24"/>
          <w:lang w:eastAsia="pt-BR"/>
        </w:rPr>
        <w:t>, cumpre destacar a competência regimental da Comissão de Justiça e Re</w:t>
      </w:r>
      <w:r w:rsidRPr="00C80CBA" w:rsidR="00C80CBA">
        <w:rPr>
          <w:rFonts w:eastAsia="Times New Roman" w:cstheme="minorHAnsi"/>
          <w:sz w:val="24"/>
          <w:szCs w:val="24"/>
          <w:lang w:eastAsia="pt-BR"/>
        </w:rPr>
        <w:t xml:space="preserve">dação estabelecida no artigo 38. </w:t>
      </w:r>
    </w:p>
    <w:p w:rsidR="00C65153" w:rsidRPr="00814080" w:rsidP="00D33A1B">
      <w:pPr>
        <w:tabs>
          <w:tab w:val="left" w:pos="1701"/>
        </w:tabs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814080">
        <w:rPr>
          <w:rFonts w:eastAsia="Times New Roman" w:cstheme="minorHAnsi"/>
          <w:sz w:val="24"/>
          <w:szCs w:val="24"/>
          <w:lang w:eastAsia="pt-BR"/>
        </w:rPr>
        <w:t>R</w:t>
      </w:r>
      <w:r w:rsidRPr="00814080" w:rsidR="0066538A">
        <w:rPr>
          <w:rFonts w:eastAsia="Times New Roman" w:cstheme="minorHAnsi"/>
          <w:sz w:val="24"/>
          <w:szCs w:val="24"/>
          <w:lang w:eastAsia="pt-BR"/>
        </w:rPr>
        <w:t xml:space="preserve">essalta-se que a opinião jurídica exarada </w:t>
      </w:r>
      <w:r w:rsidRPr="00814080" w:rsidR="0066538A">
        <w:rPr>
          <w:rFonts w:eastAsia="Times New Roman" w:cstheme="minorHAnsi"/>
          <w:b/>
          <w:sz w:val="24"/>
          <w:szCs w:val="24"/>
          <w:lang w:eastAsia="pt-BR"/>
        </w:rPr>
        <w:t>não tem força vinculante</w:t>
      </w:r>
      <w:r w:rsidRPr="00814080" w:rsidR="0066538A">
        <w:rPr>
          <w:rFonts w:eastAsia="Times New Roman" w:cstheme="minorHAnsi"/>
          <w:sz w:val="24"/>
          <w:szCs w:val="24"/>
          <w:lang w:eastAsia="pt-BR"/>
        </w:rPr>
        <w:t>, sendo meramente opinativo não vinculando o entendimento das Comissões.</w:t>
      </w:r>
      <w:r w:rsidRPr="00814080" w:rsidR="00D33A1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814080">
        <w:rPr>
          <w:rFonts w:cstheme="minorHAnsi"/>
          <w:sz w:val="24"/>
          <w:szCs w:val="24"/>
        </w:rPr>
        <w:t>Nesse sentido é o entendimento do</w:t>
      </w:r>
      <w:r w:rsidRPr="00814080" w:rsidR="0059608B">
        <w:rPr>
          <w:rFonts w:cstheme="minorHAnsi"/>
          <w:sz w:val="24"/>
          <w:szCs w:val="24"/>
        </w:rPr>
        <w:t xml:space="preserve"> C.</w:t>
      </w:r>
      <w:r w:rsidRPr="00814080">
        <w:rPr>
          <w:rFonts w:cstheme="minorHAnsi"/>
          <w:sz w:val="24"/>
          <w:szCs w:val="24"/>
        </w:rPr>
        <w:t xml:space="preserve"> Supremo Tribunal Federal: </w:t>
      </w:r>
    </w:p>
    <w:p w:rsidR="00C65153" w:rsidRPr="00D33A1B" w:rsidP="001C6292">
      <w:pPr>
        <w:pStyle w:val="Default"/>
        <w:spacing w:after="24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1"/>
          <w:szCs w:val="21"/>
        </w:rPr>
      </w:pPr>
      <w:r w:rsidRPr="00D33A1B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D33A1B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D33A1B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D33A1B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D33A1B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623AD7" w:rsidRPr="00D23678" w:rsidP="00053466">
      <w:pPr>
        <w:pStyle w:val="Default"/>
        <w:spacing w:after="240" w:line="360" w:lineRule="auto"/>
        <w:ind w:firstLine="1701"/>
        <w:jc w:val="both"/>
        <w:rPr>
          <w:rFonts w:ascii="Calibri" w:hAnsi="Calibri" w:cstheme="minorHAnsi"/>
          <w:color w:val="auto"/>
        </w:rPr>
      </w:pPr>
      <w:r w:rsidRPr="00D23678">
        <w:rPr>
          <w:rFonts w:ascii="Calibri" w:hAnsi="Calibri" w:cstheme="minorHAnsi"/>
          <w:color w:val="auto"/>
        </w:rPr>
        <w:t>Considerando-se o aspecto constituciona</w:t>
      </w:r>
      <w:r w:rsidR="00D33A1B">
        <w:rPr>
          <w:rFonts w:ascii="Calibri" w:hAnsi="Calibri" w:cstheme="minorHAnsi"/>
          <w:color w:val="auto"/>
        </w:rPr>
        <w:t>l, legal e</w:t>
      </w:r>
      <w:r w:rsidRPr="00D23678" w:rsidR="0066538A">
        <w:rPr>
          <w:rFonts w:ascii="Calibri" w:hAnsi="Calibri" w:cstheme="minorHAnsi"/>
          <w:color w:val="auto"/>
        </w:rPr>
        <w:t xml:space="preserve"> jurídico, passa-se à</w:t>
      </w:r>
      <w:r w:rsidRPr="00D23678">
        <w:rPr>
          <w:rFonts w:ascii="Calibri" w:hAnsi="Calibri" w:cstheme="minorHAnsi"/>
          <w:color w:val="auto"/>
        </w:rPr>
        <w:t xml:space="preserve"> </w:t>
      </w:r>
      <w:r w:rsidRPr="00D23678">
        <w:rPr>
          <w:rFonts w:ascii="Calibri" w:hAnsi="Calibri" w:cstheme="minorHAnsi"/>
          <w:b/>
          <w:color w:val="auto"/>
        </w:rPr>
        <w:t>análise técnica</w:t>
      </w:r>
      <w:r w:rsidRPr="00D23678">
        <w:rPr>
          <w:rFonts w:ascii="Calibri" w:hAnsi="Calibri" w:cstheme="minorHAnsi"/>
          <w:color w:val="auto"/>
        </w:rPr>
        <w:t xml:space="preserve"> do projeto. </w:t>
      </w:r>
    </w:p>
    <w:p w:rsidR="0066538A" w:rsidRPr="00D23678" w:rsidP="0066538A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D23678">
        <w:rPr>
          <w:rFonts w:eastAsia="Times New Roman" w:cstheme="minorHAnsi"/>
          <w:sz w:val="24"/>
          <w:szCs w:val="24"/>
          <w:lang w:eastAsia="pt-BR"/>
        </w:rPr>
        <w:t xml:space="preserve">Inicialmente, temos que por força da Constituição, os Municípios foram dotados de autonomia legislativa, que vem consubstanciada na </w:t>
      </w:r>
      <w:r w:rsidRPr="00D23678" w:rsidR="00D23678">
        <w:rPr>
          <w:rFonts w:eastAsia="Times New Roman" w:cstheme="minorHAnsi"/>
          <w:sz w:val="24"/>
          <w:szCs w:val="24"/>
          <w:lang w:eastAsia="pt-BR"/>
        </w:rPr>
        <w:t>competência para</w:t>
      </w:r>
      <w:r w:rsidRPr="00D23678">
        <w:rPr>
          <w:rFonts w:eastAsia="Times New Roman" w:cstheme="minorHAnsi"/>
          <w:sz w:val="24"/>
          <w:szCs w:val="24"/>
          <w:lang w:eastAsia="pt-BR"/>
        </w:rPr>
        <w:t xml:space="preserve"> legislar sobre assuntos de interesse local e de suplementar a legislação federal e estadual no que couber (art. 30, </w:t>
      </w:r>
      <w:r w:rsidR="00D23678">
        <w:rPr>
          <w:rFonts w:eastAsia="Times New Roman" w:cstheme="minorHAnsi"/>
          <w:sz w:val="24"/>
          <w:szCs w:val="24"/>
          <w:lang w:eastAsia="pt-BR"/>
        </w:rPr>
        <w:t xml:space="preserve">incisos I e </w:t>
      </w:r>
      <w:r w:rsidRPr="00D23678">
        <w:rPr>
          <w:rFonts w:eastAsia="Times New Roman" w:cstheme="minorHAnsi"/>
          <w:sz w:val="24"/>
          <w:szCs w:val="24"/>
          <w:lang w:eastAsia="pt-BR"/>
        </w:rPr>
        <w:t>II</w:t>
      </w:r>
      <w:r w:rsidR="00D23678">
        <w:rPr>
          <w:rFonts w:eastAsia="Times New Roman" w:cstheme="minorHAnsi"/>
          <w:sz w:val="24"/>
          <w:szCs w:val="24"/>
          <w:lang w:eastAsia="pt-BR"/>
        </w:rPr>
        <w:t>, da CF</w:t>
      </w:r>
      <w:r w:rsidRPr="00D23678">
        <w:rPr>
          <w:rFonts w:eastAsia="Times New Roman" w:cstheme="minorHAnsi"/>
          <w:sz w:val="24"/>
          <w:szCs w:val="24"/>
          <w:lang w:eastAsia="pt-BR"/>
        </w:rPr>
        <w:t>).</w:t>
      </w:r>
    </w:p>
    <w:p w:rsidR="00FD536E" w:rsidRPr="00CC2312" w:rsidP="00FD53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CC2312">
        <w:rPr>
          <w:rFonts w:cstheme="minorHAnsi"/>
          <w:color w:val="FF0000"/>
          <w:sz w:val="24"/>
          <w:szCs w:val="24"/>
        </w:rPr>
        <w:t xml:space="preserve"> </w:t>
      </w:r>
      <w:r w:rsidRPr="00CC2312">
        <w:rPr>
          <w:rFonts w:cstheme="minorHAnsi"/>
          <w:color w:val="FF0000"/>
          <w:sz w:val="24"/>
          <w:szCs w:val="24"/>
        </w:rPr>
        <w:tab/>
      </w:r>
      <w:r w:rsidRPr="00CC2312">
        <w:rPr>
          <w:rFonts w:cstheme="minorHAnsi"/>
          <w:color w:val="FF0000"/>
          <w:sz w:val="24"/>
          <w:szCs w:val="24"/>
        </w:rPr>
        <w:tab/>
      </w:r>
      <w:r w:rsidRPr="00D23678">
        <w:rPr>
          <w:rFonts w:cstheme="minorHAnsi"/>
          <w:sz w:val="24"/>
          <w:szCs w:val="24"/>
        </w:rPr>
        <w:t xml:space="preserve">   </w:t>
      </w:r>
      <w:r w:rsidRPr="00D23678">
        <w:rPr>
          <w:rFonts w:cstheme="minorHAnsi"/>
          <w:sz w:val="24"/>
          <w:szCs w:val="24"/>
        </w:rPr>
        <w:t xml:space="preserve">   Acerca do conceito de interesse local o saudoso professor Hely Lopes Meirelles leciona:</w:t>
      </w:r>
    </w:p>
    <w:p w:rsidR="00FD536E" w:rsidP="00D2367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  <w:r w:rsidRPr="002B3C83">
        <w:rPr>
          <w:rFonts w:eastAsia="Calibri" w:cstheme="minorHAnsi"/>
          <w:i/>
        </w:rPr>
        <w:t xml:space="preserve">"Interesse local não é interesse exclusivo do Município; não é interesse privativo da localidade; não é interesse único dos municípios. Se se exigisse essa exclusividade, </w:t>
      </w:r>
      <w:r w:rsidRPr="002B3C83">
        <w:rPr>
          <w:rFonts w:eastAsia="Calibri" w:cstheme="minorHAnsi"/>
          <w:i/>
        </w:rPr>
        <w:t xml:space="preserve">essa </w:t>
      </w:r>
      <w:r w:rsidRPr="002B3C83">
        <w:rPr>
          <w:rFonts w:eastAsia="Calibri" w:cstheme="minorHAnsi"/>
          <w:i/>
        </w:rPr>
        <w:t>privatividade</w:t>
      </w:r>
      <w:r w:rsidRPr="002B3C83">
        <w:rPr>
          <w:rFonts w:eastAsia="Calibri" w:cstheme="minorHAnsi"/>
          <w:i/>
        </w:rPr>
        <w:t>, essa unicidade, bem reduzido</w:t>
      </w:r>
      <w:r w:rsidRPr="002B3C83">
        <w:rPr>
          <w:rFonts w:eastAsia="Calibri" w:cstheme="minorHAnsi"/>
          <w:i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2B3C83">
        <w:rPr>
          <w:rFonts w:eastAsia="Calibri" w:cstheme="minorHAnsi"/>
          <w:b/>
          <w:i/>
        </w:rPr>
        <w:t>O que define e caracteriza o 'interesse local', inscrito como dogma constitucional, é a predominância do interesse do Município sobre o do Estado ou da União". (</w:t>
      </w:r>
      <w:r w:rsidRPr="002B3C83">
        <w:rPr>
          <w:rFonts w:eastAsia="Calibri" w:cstheme="minorHAnsi"/>
          <w:b/>
          <w:i/>
        </w:rPr>
        <w:t>gn</w:t>
      </w:r>
      <w:r w:rsidRPr="002B3C83">
        <w:rPr>
          <w:rFonts w:eastAsia="Calibri" w:cstheme="minorHAnsi"/>
          <w:b/>
          <w:i/>
        </w:rPr>
        <w:t>)</w:t>
      </w:r>
      <w:r w:rsidRPr="002B3C83">
        <w:rPr>
          <w:rFonts w:eastAsia="Calibri" w:cstheme="minorHAnsi"/>
          <w:i/>
        </w:rPr>
        <w:t>(</w:t>
      </w:r>
      <w:r w:rsidRPr="002B3C83">
        <w:rPr>
          <w:rFonts w:eastAsia="Calibri" w:cstheme="minorHAnsi"/>
          <w:i/>
        </w:rPr>
        <w:t>in Direito Municipal Brasileiro, 6ª ed., atualizada por Izabel Camargo Lopes Monteiro e Yara Darcy Police Monteiro, 1993, Malheiros, p. 98)</w:t>
      </w:r>
    </w:p>
    <w:p w:rsidR="00814080" w:rsidRPr="002B3C83" w:rsidP="00D2367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</w:p>
    <w:p w:rsidR="00623AD7" w:rsidRPr="00CC2312" w:rsidP="0005346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FF0000"/>
          <w:sz w:val="4"/>
          <w:szCs w:val="4"/>
        </w:rPr>
      </w:pPr>
    </w:p>
    <w:p w:rsidR="006F0642" w:rsidRPr="00D23678" w:rsidP="00814080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CC2312">
        <w:rPr>
          <w:rFonts w:cstheme="minorHAnsi"/>
          <w:color w:val="FF0000"/>
          <w:sz w:val="24"/>
          <w:szCs w:val="24"/>
        </w:rPr>
        <w:t xml:space="preserve"> </w:t>
      </w:r>
      <w:r w:rsidRPr="00CC2312">
        <w:rPr>
          <w:rFonts w:cstheme="minorHAnsi"/>
          <w:color w:val="FF0000"/>
          <w:sz w:val="24"/>
          <w:szCs w:val="24"/>
        </w:rPr>
        <w:tab/>
      </w:r>
      <w:r w:rsidRPr="00D23678">
        <w:rPr>
          <w:rFonts w:cstheme="minorHAnsi"/>
          <w:sz w:val="24"/>
          <w:szCs w:val="24"/>
        </w:rPr>
        <w:t xml:space="preserve">No que tange à competência para legislar sobre </w:t>
      </w:r>
      <w:r w:rsidR="001A14BF">
        <w:rPr>
          <w:rFonts w:cstheme="minorHAnsi"/>
          <w:sz w:val="24"/>
          <w:szCs w:val="24"/>
        </w:rPr>
        <w:t xml:space="preserve">cultura e </w:t>
      </w:r>
      <w:r w:rsidRPr="00D23678">
        <w:rPr>
          <w:rFonts w:cstheme="minorHAnsi"/>
          <w:sz w:val="24"/>
          <w:szCs w:val="24"/>
        </w:rPr>
        <w:t>defesa da saúde a Constituição Federal estabelece:</w:t>
      </w:r>
    </w:p>
    <w:p w:rsidR="006F0642" w:rsidRPr="00D23678" w:rsidP="00814080">
      <w:pPr>
        <w:tabs>
          <w:tab w:val="left" w:pos="2268"/>
        </w:tabs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  <w:shd w:val="clear" w:color="auto" w:fill="FFFFFF"/>
        </w:rPr>
      </w:pPr>
      <w:r w:rsidRPr="00D23678">
        <w:rPr>
          <w:rFonts w:cstheme="minorHAnsi"/>
          <w:shd w:val="clear" w:color="auto" w:fill="FFFFFF"/>
        </w:rPr>
        <w:t> </w:t>
      </w:r>
      <w:bookmarkStart w:id="0" w:name="art24"/>
      <w:bookmarkStart w:id="1" w:name="cfart24"/>
      <w:bookmarkEnd w:id="0"/>
      <w:bookmarkEnd w:id="1"/>
      <w:r w:rsidRPr="00D23678">
        <w:rPr>
          <w:rFonts w:cstheme="minorHAnsi"/>
          <w:i/>
          <w:shd w:val="clear" w:color="auto" w:fill="FFFFFF"/>
        </w:rPr>
        <w:t xml:space="preserve">Art. 24. Compete à </w:t>
      </w:r>
      <w:r w:rsidRPr="00D23678">
        <w:rPr>
          <w:rFonts w:cstheme="minorHAnsi"/>
          <w:i/>
          <w:u w:val="single"/>
          <w:shd w:val="clear" w:color="auto" w:fill="FFFFFF"/>
        </w:rPr>
        <w:t xml:space="preserve">União, aos Estados e ao Distrito Federal </w:t>
      </w:r>
      <w:r w:rsidRPr="00D23678">
        <w:rPr>
          <w:rFonts w:cstheme="minorHAnsi"/>
          <w:b/>
          <w:i/>
          <w:shd w:val="clear" w:color="auto" w:fill="FFFFFF"/>
        </w:rPr>
        <w:t xml:space="preserve">legislar </w:t>
      </w:r>
      <w:r w:rsidRPr="00D23678">
        <w:rPr>
          <w:rFonts w:cstheme="minorHAnsi"/>
          <w:i/>
          <w:shd w:val="clear" w:color="auto" w:fill="FFFFFF"/>
        </w:rPr>
        <w:t>concorrentemente sobre:</w:t>
      </w:r>
    </w:p>
    <w:p w:rsidR="001A14BF" w:rsidP="00814080">
      <w:pPr>
        <w:tabs>
          <w:tab w:val="left" w:pos="2268"/>
          <w:tab w:val="left" w:pos="2835"/>
        </w:tabs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>(...)</w:t>
      </w:r>
    </w:p>
    <w:p w:rsidR="001A14BF" w:rsidRPr="001A14BF" w:rsidP="00814080">
      <w:pPr>
        <w:tabs>
          <w:tab w:val="left" w:pos="2268"/>
          <w:tab w:val="left" w:pos="2835"/>
        </w:tabs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  <w:shd w:val="clear" w:color="auto" w:fill="FFFFFF"/>
        </w:rPr>
      </w:pPr>
      <w:r w:rsidRPr="001A14BF">
        <w:rPr>
          <w:rFonts w:cstheme="minorHAnsi"/>
          <w:i/>
          <w:shd w:val="clear" w:color="auto" w:fill="FFFFFF"/>
        </w:rPr>
        <w:t xml:space="preserve">IX - educação, </w:t>
      </w:r>
      <w:r w:rsidRPr="001A14BF">
        <w:rPr>
          <w:rFonts w:cstheme="minorHAnsi"/>
          <w:b/>
          <w:i/>
          <w:shd w:val="clear" w:color="auto" w:fill="FFFFFF"/>
        </w:rPr>
        <w:t>cultura</w:t>
      </w:r>
      <w:r w:rsidRPr="001A14BF">
        <w:rPr>
          <w:rFonts w:cstheme="minorHAnsi"/>
          <w:i/>
          <w:shd w:val="clear" w:color="auto" w:fill="FFFFFF"/>
        </w:rPr>
        <w:t>, ensino, desporto, ciência, tecnologia, pesquisa, desenvolvimento e inovação;     </w:t>
      </w:r>
      <w:r w:rsidRPr="001A14BF">
        <w:rPr>
          <w:rFonts w:cstheme="minorHAnsi"/>
          <w:i/>
          <w:shd w:val="clear" w:color="auto" w:fill="FFFFFF"/>
        </w:rPr>
        <w:t> </w:t>
      </w:r>
    </w:p>
    <w:p w:rsidR="006F0642" w:rsidRPr="001A14BF" w:rsidP="00814080">
      <w:pPr>
        <w:tabs>
          <w:tab w:val="left" w:pos="2268"/>
          <w:tab w:val="left" w:pos="2835"/>
        </w:tabs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  <w:shd w:val="clear" w:color="auto" w:fill="FFFFFF"/>
        </w:rPr>
      </w:pPr>
      <w:r w:rsidRPr="001A14BF">
        <w:rPr>
          <w:rFonts w:cstheme="minorHAnsi"/>
          <w:i/>
          <w:shd w:val="clear" w:color="auto" w:fill="FFFFFF"/>
        </w:rPr>
        <w:t>(...)</w:t>
      </w:r>
    </w:p>
    <w:p w:rsidR="006F0642" w:rsidRPr="00D23678" w:rsidP="00814080">
      <w:pPr>
        <w:tabs>
          <w:tab w:val="left" w:pos="2268"/>
        </w:tabs>
        <w:autoSpaceDE w:val="0"/>
        <w:autoSpaceDN w:val="0"/>
        <w:adjustRightInd w:val="0"/>
        <w:spacing w:after="0"/>
        <w:ind w:left="2268"/>
        <w:jc w:val="both"/>
        <w:rPr>
          <w:rFonts w:cstheme="minorHAnsi"/>
          <w:b/>
          <w:i/>
        </w:rPr>
      </w:pPr>
      <w:r w:rsidRPr="00D23678">
        <w:rPr>
          <w:rFonts w:cstheme="minorHAnsi"/>
          <w:i/>
          <w:shd w:val="clear" w:color="auto" w:fill="FFFFFF"/>
        </w:rPr>
        <w:t xml:space="preserve">XII - previdência social, proteção e </w:t>
      </w:r>
      <w:r w:rsidRPr="00D23678">
        <w:rPr>
          <w:rFonts w:cstheme="minorHAnsi"/>
          <w:b/>
          <w:i/>
          <w:shd w:val="clear" w:color="auto" w:fill="FFFFFF"/>
        </w:rPr>
        <w:t>defesa da saúde;   </w:t>
      </w:r>
      <w:r w:rsidRPr="00D23678">
        <w:rPr>
          <w:rFonts w:cstheme="minorHAnsi"/>
          <w:b/>
          <w:i/>
        </w:rPr>
        <w:tab/>
      </w:r>
    </w:p>
    <w:p w:rsidR="006F0642" w:rsidP="00814080">
      <w:pPr>
        <w:tabs>
          <w:tab w:val="left" w:pos="2268"/>
          <w:tab w:val="left" w:pos="2835"/>
        </w:tabs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 w:rsidRPr="00D23678">
        <w:rPr>
          <w:rFonts w:eastAsia="Calibri" w:cstheme="minorHAnsi"/>
          <w:i/>
        </w:rPr>
        <w:t>(...)</w:t>
      </w:r>
    </w:p>
    <w:p w:rsidR="00814080" w:rsidRPr="00814080" w:rsidP="00814080">
      <w:pPr>
        <w:tabs>
          <w:tab w:val="left" w:pos="2268"/>
          <w:tab w:val="left" w:pos="2835"/>
        </w:tabs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  <w:sz w:val="4"/>
          <w:szCs w:val="4"/>
        </w:rPr>
      </w:pPr>
    </w:p>
    <w:p w:rsidR="001A14BF" w:rsidP="00053466">
      <w:pPr>
        <w:spacing w:after="240" w:line="360" w:lineRule="auto"/>
        <w:ind w:firstLine="1701"/>
        <w:jc w:val="both"/>
        <w:rPr>
          <w:sz w:val="24"/>
          <w:szCs w:val="24"/>
        </w:rPr>
      </w:pPr>
      <w:r w:rsidRPr="00D23678">
        <w:rPr>
          <w:sz w:val="24"/>
          <w:szCs w:val="24"/>
        </w:rPr>
        <w:t>A</w:t>
      </w:r>
      <w:r w:rsidRPr="00D23678" w:rsidR="00F63F5A">
        <w:rPr>
          <w:sz w:val="24"/>
          <w:szCs w:val="24"/>
        </w:rPr>
        <w:t>ssim, temos que o projeto</w:t>
      </w:r>
      <w:r w:rsidRPr="00D23678">
        <w:rPr>
          <w:sz w:val="24"/>
          <w:szCs w:val="24"/>
        </w:rPr>
        <w:t xml:space="preserve"> em apreço versa sobre </w:t>
      </w:r>
      <w:r>
        <w:rPr>
          <w:sz w:val="24"/>
          <w:szCs w:val="24"/>
        </w:rPr>
        <w:t xml:space="preserve">cultura e </w:t>
      </w:r>
      <w:r w:rsidRPr="00D23678">
        <w:rPr>
          <w:sz w:val="24"/>
          <w:szCs w:val="24"/>
        </w:rPr>
        <w:t xml:space="preserve">a proteção e a defesa da saúde, que constituem temas afetos à competência </w:t>
      </w:r>
      <w:r w:rsidRPr="00D23678" w:rsidR="0066538A">
        <w:rPr>
          <w:sz w:val="24"/>
          <w:szCs w:val="24"/>
        </w:rPr>
        <w:t xml:space="preserve">legislativa </w:t>
      </w:r>
      <w:r w:rsidRPr="00D23678">
        <w:rPr>
          <w:sz w:val="24"/>
          <w:szCs w:val="24"/>
        </w:rPr>
        <w:t xml:space="preserve">concorrente entre União, Estados e Distrito Federal (art. 24, </w:t>
      </w:r>
      <w:r>
        <w:rPr>
          <w:sz w:val="24"/>
          <w:szCs w:val="24"/>
        </w:rPr>
        <w:t xml:space="preserve">incisos IX e </w:t>
      </w:r>
      <w:r w:rsidRPr="00D23678">
        <w:rPr>
          <w:sz w:val="24"/>
          <w:szCs w:val="24"/>
        </w:rPr>
        <w:t>XII, da Constituição Federal).</w:t>
      </w:r>
      <w:r>
        <w:rPr>
          <w:sz w:val="24"/>
          <w:szCs w:val="24"/>
        </w:rPr>
        <w:t xml:space="preserve"> </w:t>
      </w:r>
    </w:p>
    <w:p w:rsidR="00FD536E" w:rsidRPr="00D23678" w:rsidP="00053466">
      <w:pPr>
        <w:spacing w:after="240" w:line="360" w:lineRule="auto"/>
        <w:ind w:firstLine="1701"/>
        <w:jc w:val="both"/>
        <w:rPr>
          <w:sz w:val="24"/>
          <w:szCs w:val="24"/>
        </w:rPr>
      </w:pPr>
      <w:r w:rsidRPr="00D23678">
        <w:rPr>
          <w:sz w:val="24"/>
          <w:szCs w:val="24"/>
        </w:rPr>
        <w:t>Entretanto,</w:t>
      </w:r>
      <w:r w:rsidRPr="00D23678" w:rsidR="00D23678">
        <w:rPr>
          <w:sz w:val="24"/>
          <w:szCs w:val="24"/>
        </w:rPr>
        <w:t xml:space="preserve"> consoante</w:t>
      </w:r>
      <w:r w:rsidRPr="00D23678">
        <w:rPr>
          <w:sz w:val="24"/>
          <w:szCs w:val="24"/>
        </w:rPr>
        <w:t xml:space="preserve"> </w:t>
      </w:r>
      <w:r w:rsidRPr="00D23678" w:rsidR="00D23678">
        <w:rPr>
          <w:sz w:val="24"/>
          <w:szCs w:val="24"/>
        </w:rPr>
        <w:t xml:space="preserve">sobredito, </w:t>
      </w:r>
      <w:r w:rsidRPr="00D23678">
        <w:rPr>
          <w:sz w:val="24"/>
          <w:szCs w:val="24"/>
        </w:rPr>
        <w:t>o</w:t>
      </w:r>
      <w:r w:rsidRPr="00D23678">
        <w:rPr>
          <w:sz w:val="24"/>
          <w:szCs w:val="24"/>
        </w:rPr>
        <w:t xml:space="preserve">s Municípios detém atribuição para “suplementar a legislação federal e a estadual no que couber” constante do art. 30, Il, da CF. Nesse aspecto, Pedro </w:t>
      </w:r>
      <w:r w:rsidRPr="00D23678">
        <w:rPr>
          <w:sz w:val="24"/>
          <w:szCs w:val="24"/>
        </w:rPr>
        <w:t>Lenza</w:t>
      </w:r>
      <w:r>
        <w:rPr>
          <w:rStyle w:val="FootnoteReference"/>
          <w:sz w:val="24"/>
          <w:szCs w:val="24"/>
        </w:rPr>
        <w:footnoteReference w:id="2"/>
      </w:r>
      <w:r w:rsidRPr="00D23678">
        <w:rPr>
          <w:sz w:val="24"/>
          <w:szCs w:val="24"/>
        </w:rPr>
        <w:t xml:space="preserve"> assevera: “</w:t>
      </w:r>
      <w:r w:rsidRPr="00D23678">
        <w:rPr>
          <w:i/>
          <w:sz w:val="24"/>
          <w:szCs w:val="24"/>
        </w:rPr>
        <w:t>Observar ainda que tal competência se aplica, também, às matérias do art. 24, suplementando as normas gerais e específicas, juntamente com as outras que digam respeito ao peculiar interesse daquela localidade</w:t>
      </w:r>
      <w:r w:rsidRPr="00D23678" w:rsidR="000F5496">
        <w:rPr>
          <w:sz w:val="24"/>
          <w:szCs w:val="24"/>
        </w:rPr>
        <w:t>”</w:t>
      </w:r>
      <w:r w:rsidRPr="00D23678">
        <w:rPr>
          <w:sz w:val="24"/>
          <w:szCs w:val="24"/>
        </w:rPr>
        <w:t>.</w:t>
      </w:r>
    </w:p>
    <w:p w:rsidR="00F63F5A" w:rsidRPr="002B3C83" w:rsidP="00053466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u w:val="single"/>
          <w:lang w:eastAsia="pt-BR"/>
        </w:rPr>
      </w:pPr>
      <w:r w:rsidRPr="002B3C83">
        <w:rPr>
          <w:sz w:val="24"/>
          <w:szCs w:val="24"/>
          <w:u w:val="single"/>
        </w:rPr>
        <w:t xml:space="preserve">Depreende-se, portanto, que ainda que o tema seja de competência concorrente e que os Municípios não estejam expressamente mencionados no </w:t>
      </w:r>
      <w:r w:rsidRPr="002B3C83">
        <w:rPr>
          <w:i/>
          <w:sz w:val="24"/>
          <w:szCs w:val="24"/>
          <w:u w:val="single"/>
        </w:rPr>
        <w:t xml:space="preserve">caput </w:t>
      </w:r>
      <w:r w:rsidRPr="002B3C83">
        <w:rPr>
          <w:sz w:val="24"/>
          <w:szCs w:val="24"/>
          <w:u w:val="single"/>
        </w:rPr>
        <w:t>do art. 24,</w:t>
      </w:r>
      <w:r w:rsidRPr="002B3C83" w:rsidR="0066538A">
        <w:rPr>
          <w:sz w:val="24"/>
          <w:szCs w:val="24"/>
          <w:u w:val="single"/>
        </w:rPr>
        <w:t xml:space="preserve"> da CF</w:t>
      </w:r>
      <w:r w:rsidRPr="002B3C83">
        <w:rPr>
          <w:sz w:val="24"/>
          <w:szCs w:val="24"/>
          <w:u w:val="single"/>
        </w:rPr>
        <w:t xml:space="preserve"> a eles é dada a atribuição de legislar suplementando a legislação federal e estadual naquilo que for de interesse local.</w:t>
      </w:r>
    </w:p>
    <w:p w:rsidR="000F5496" w:rsidRPr="00D23678" w:rsidP="001A14BF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D23678">
        <w:rPr>
          <w:rFonts w:cstheme="minorHAnsi"/>
          <w:sz w:val="24"/>
          <w:szCs w:val="24"/>
        </w:rPr>
        <w:t>Do mesmo modo, a Constituição Federal estabelece a competência</w:t>
      </w:r>
      <w:r w:rsidRPr="00D23678" w:rsidR="00D23678">
        <w:rPr>
          <w:rFonts w:cstheme="minorHAnsi"/>
          <w:sz w:val="24"/>
          <w:szCs w:val="24"/>
        </w:rPr>
        <w:t xml:space="preserve"> material ou administrativa </w:t>
      </w:r>
      <w:r w:rsidRPr="00D23678">
        <w:rPr>
          <w:rFonts w:cstheme="minorHAnsi"/>
          <w:sz w:val="24"/>
          <w:szCs w:val="24"/>
        </w:rPr>
        <w:t>dos entes federativos para</w:t>
      </w:r>
      <w:r w:rsidR="001A14BF">
        <w:rPr>
          <w:rFonts w:cstheme="minorHAnsi"/>
          <w:sz w:val="24"/>
          <w:szCs w:val="24"/>
        </w:rPr>
        <w:t xml:space="preserve"> </w:t>
      </w:r>
      <w:r w:rsidRPr="001A14BF" w:rsidR="001A14BF">
        <w:rPr>
          <w:rFonts w:cstheme="minorHAnsi"/>
          <w:sz w:val="24"/>
          <w:szCs w:val="24"/>
        </w:rPr>
        <w:t>proporcionar os meios de acesso à cultura</w:t>
      </w:r>
      <w:r w:rsidR="001A14BF">
        <w:rPr>
          <w:rFonts w:cstheme="minorHAnsi"/>
          <w:sz w:val="24"/>
          <w:szCs w:val="24"/>
        </w:rPr>
        <w:t xml:space="preserve"> e para</w:t>
      </w:r>
      <w:r w:rsidRPr="00D23678">
        <w:rPr>
          <w:rFonts w:cstheme="minorHAnsi"/>
          <w:sz w:val="24"/>
          <w:szCs w:val="24"/>
        </w:rPr>
        <w:t xml:space="preserve"> cuidar da saúde pública:</w:t>
      </w:r>
    </w:p>
    <w:p w:rsidR="000F5496" w:rsidP="001A14BF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ind w:left="2268"/>
        <w:jc w:val="both"/>
        <w:rPr>
          <w:rFonts w:cstheme="minorHAnsi"/>
          <w:i/>
        </w:rPr>
      </w:pPr>
      <w:r>
        <w:rPr>
          <w:rFonts w:cstheme="minorHAnsi"/>
          <w:i/>
        </w:rPr>
        <w:t>“</w:t>
      </w:r>
      <w:r w:rsidRPr="00D23678">
        <w:rPr>
          <w:rFonts w:cstheme="minorHAnsi"/>
          <w:i/>
        </w:rPr>
        <w:t>Art. 23.</w:t>
      </w:r>
      <w:r w:rsidRPr="00D23678">
        <w:rPr>
          <w:rFonts w:cstheme="minorHAnsi"/>
          <w:i/>
        </w:rPr>
        <w:t xml:space="preserve"> É competência comum da União, dos Estados, do Distrito Federal e dos Municípios:</w:t>
      </w:r>
    </w:p>
    <w:p w:rsidR="001A14BF" w:rsidP="001A14BF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ind w:left="2268"/>
        <w:jc w:val="both"/>
        <w:rPr>
          <w:rFonts w:cstheme="minorHAnsi"/>
          <w:i/>
        </w:rPr>
      </w:pPr>
      <w:r>
        <w:rPr>
          <w:rFonts w:cstheme="minorHAnsi"/>
          <w:i/>
        </w:rPr>
        <w:t>(...)</w:t>
      </w:r>
    </w:p>
    <w:p w:rsidR="000F5496" w:rsidP="001A14BF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ind w:left="2268"/>
        <w:jc w:val="both"/>
        <w:rPr>
          <w:rFonts w:cstheme="minorHAnsi"/>
          <w:i/>
        </w:rPr>
      </w:pPr>
      <w:r>
        <w:rPr>
          <w:rFonts w:cstheme="minorHAnsi"/>
          <w:i/>
        </w:rPr>
        <w:t>II</w:t>
      </w:r>
      <w:r w:rsidRPr="00D23678">
        <w:rPr>
          <w:rFonts w:cstheme="minorHAnsi"/>
          <w:i/>
        </w:rPr>
        <w:t>- cuidar da saúde e assistência pública, da proteção e garantia das pes</w:t>
      </w:r>
      <w:r w:rsidR="001A14BF">
        <w:rPr>
          <w:rFonts w:cstheme="minorHAnsi"/>
          <w:i/>
        </w:rPr>
        <w:t>soas portadoras de deficiência;</w:t>
      </w:r>
    </w:p>
    <w:p w:rsidR="001A14BF" w:rsidRPr="00D23678" w:rsidP="001A14BF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ind w:left="2268"/>
        <w:jc w:val="both"/>
        <w:rPr>
          <w:rFonts w:cstheme="minorHAnsi"/>
          <w:i/>
        </w:rPr>
      </w:pPr>
      <w:r w:rsidRPr="00D23678">
        <w:rPr>
          <w:rFonts w:cstheme="minorHAnsi"/>
          <w:i/>
        </w:rPr>
        <w:t>(...)</w:t>
      </w:r>
    </w:p>
    <w:p w:rsidR="001A14BF" w:rsidRPr="00D23678" w:rsidP="001A14BF">
      <w:pPr>
        <w:tabs>
          <w:tab w:val="left" w:pos="2977"/>
        </w:tabs>
        <w:autoSpaceDE w:val="0"/>
        <w:autoSpaceDN w:val="0"/>
        <w:adjustRightInd w:val="0"/>
        <w:spacing w:after="0" w:line="264" w:lineRule="auto"/>
        <w:ind w:left="2268"/>
        <w:jc w:val="both"/>
        <w:rPr>
          <w:rFonts w:cstheme="minorHAnsi"/>
          <w:i/>
        </w:rPr>
      </w:pPr>
      <w:r w:rsidRPr="001A14BF">
        <w:rPr>
          <w:rFonts w:cstheme="minorHAnsi"/>
          <w:i/>
        </w:rPr>
        <w:t>V - proporcionar os meios de acesso à cultura, à educação, à ciência, à tecnologia, à pesquisa e à inovação;         </w:t>
      </w:r>
      <w:hyperlink r:id="rId6" w:anchor="art1" w:history="1">
        <w:r w:rsidRPr="001A14BF">
          <w:rPr>
            <w:rFonts w:cstheme="minorHAnsi"/>
            <w:i/>
          </w:rPr>
          <w:t>(Redação dada pela Emenda Constitucional nº 85, de 2015)</w:t>
        </w:r>
      </w:hyperlink>
      <w:r>
        <w:rPr>
          <w:rFonts w:cstheme="minorHAnsi"/>
          <w:i/>
        </w:rPr>
        <w:t>”</w:t>
      </w:r>
    </w:p>
    <w:p w:rsidR="00B06343" w:rsidRPr="00A603E0" w:rsidP="000F5496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cstheme="minorHAnsi"/>
          <w:color w:val="FF0000"/>
          <w:sz w:val="4"/>
          <w:szCs w:val="4"/>
        </w:rPr>
      </w:pPr>
      <w:r w:rsidRPr="00CC2312">
        <w:rPr>
          <w:rFonts w:cstheme="minorHAnsi"/>
          <w:color w:val="FF0000"/>
          <w:sz w:val="24"/>
          <w:szCs w:val="24"/>
        </w:rPr>
        <w:tab/>
      </w:r>
    </w:p>
    <w:p w:rsidR="000F5496" w:rsidRPr="000064F3" w:rsidP="00B06343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0064F3">
        <w:rPr>
          <w:rFonts w:cstheme="minorHAnsi"/>
          <w:sz w:val="24"/>
          <w:szCs w:val="24"/>
        </w:rPr>
        <w:t>Por seu tur</w:t>
      </w:r>
      <w:r w:rsidR="002B3C83">
        <w:rPr>
          <w:rFonts w:cstheme="minorHAnsi"/>
          <w:sz w:val="24"/>
          <w:szCs w:val="24"/>
        </w:rPr>
        <w:t xml:space="preserve">no a Lei Orgânica do Município reproduz </w:t>
      </w:r>
      <w:r w:rsidRPr="000064F3">
        <w:rPr>
          <w:rFonts w:cstheme="minorHAnsi"/>
          <w:sz w:val="24"/>
          <w:szCs w:val="24"/>
        </w:rPr>
        <w:t xml:space="preserve">os mandamentos </w:t>
      </w:r>
      <w:r w:rsidRPr="000064F3">
        <w:rPr>
          <w:rFonts w:cstheme="minorHAnsi"/>
          <w:sz w:val="24"/>
          <w:szCs w:val="24"/>
        </w:rPr>
        <w:t>constitucionais</w:t>
      </w:r>
      <w:r w:rsidRPr="000064F3">
        <w:rPr>
          <w:rFonts w:cstheme="minorHAnsi"/>
          <w:sz w:val="24"/>
          <w:szCs w:val="24"/>
        </w:rPr>
        <w:t>:</w:t>
      </w:r>
    </w:p>
    <w:p w:rsidR="000F5496" w:rsidRPr="000064F3" w:rsidP="00814080">
      <w:pPr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</w:rPr>
      </w:pPr>
      <w:r>
        <w:rPr>
          <w:rFonts w:cstheme="minorHAnsi"/>
          <w:i/>
        </w:rPr>
        <w:t>“</w:t>
      </w:r>
      <w:r w:rsidRPr="000064F3">
        <w:rPr>
          <w:rFonts w:cstheme="minorHAnsi"/>
          <w:i/>
        </w:rPr>
        <w:t>Art. 6º Compete ao Município, em comum com a União e o estado, entre outras, as seguintes atribuições:</w:t>
      </w:r>
    </w:p>
    <w:p w:rsidR="000F5496" w:rsidRPr="000064F3" w:rsidP="00814080">
      <w:pPr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</w:rPr>
      </w:pPr>
      <w:r w:rsidRPr="000064F3">
        <w:rPr>
          <w:rFonts w:cstheme="minorHAnsi"/>
          <w:i/>
        </w:rPr>
        <w:t>(...)</w:t>
      </w:r>
    </w:p>
    <w:p w:rsidR="00BE0431" w:rsidP="00814080">
      <w:pPr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</w:rPr>
      </w:pPr>
      <w:r>
        <w:rPr>
          <w:rFonts w:cstheme="minorHAnsi"/>
          <w:i/>
        </w:rPr>
        <w:t>II</w:t>
      </w:r>
      <w:r w:rsidRPr="000064F3" w:rsidR="000F5496">
        <w:rPr>
          <w:rFonts w:cstheme="minorHAnsi"/>
          <w:i/>
        </w:rPr>
        <w:t>- cuidar da saúde, higiene e assistência pública e dar proteção às pes</w:t>
      </w:r>
      <w:r w:rsidR="000064F3">
        <w:rPr>
          <w:rFonts w:cstheme="minorHAnsi"/>
          <w:i/>
        </w:rPr>
        <w:t>soas portadoras de deficiência;</w:t>
      </w:r>
    </w:p>
    <w:p w:rsidR="001A14BF" w:rsidP="00814080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>(...)</w:t>
      </w:r>
    </w:p>
    <w:p w:rsidR="001A14BF" w:rsidP="00814080">
      <w:pPr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</w:rPr>
      </w:pPr>
      <w:r w:rsidRPr="001A14BF">
        <w:rPr>
          <w:rFonts w:cstheme="minorHAnsi"/>
          <w:i/>
        </w:rPr>
        <w:t>V - proporcionar os meios de acesso à cultura, à educação e à ciência;</w:t>
      </w:r>
      <w:r w:rsidRPr="001A14BF">
        <w:rPr>
          <w:rFonts w:cstheme="minorHAnsi"/>
          <w:i/>
        </w:rPr>
        <w:t>”</w:t>
      </w:r>
    </w:p>
    <w:p w:rsidR="001A14BF" w:rsidRPr="001A14BF" w:rsidP="00814080">
      <w:pPr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</w:rPr>
      </w:pPr>
    </w:p>
    <w:p w:rsidR="00BE0431" w:rsidRPr="00BE0431" w:rsidP="00BE0431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E043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No que tange à competência para deflagrar </w:t>
      </w:r>
      <w:r w:rsidR="00EC16C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projeto sobre o tema </w:t>
      </w:r>
      <w:r w:rsidRPr="00BE0431">
        <w:rPr>
          <w:rFonts w:eastAsia="Times New Roman" w:cstheme="minorHAnsi"/>
          <w:color w:val="000000"/>
          <w:sz w:val="24"/>
          <w:szCs w:val="24"/>
          <w:lang w:eastAsia="pt-BR"/>
        </w:rPr>
        <w:t>a Constituição do Estado de São Paulo, no artigo 24, § 2º</w:t>
      </w:r>
      <w:r w:rsidR="00A603E0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Pr="00BE043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em simetria com o artigo 6</w:t>
      </w:r>
      <w:r w:rsidR="001F3657">
        <w:rPr>
          <w:rFonts w:eastAsia="Times New Roman" w:cstheme="minorHAnsi"/>
          <w:color w:val="000000"/>
          <w:sz w:val="24"/>
          <w:szCs w:val="24"/>
          <w:lang w:eastAsia="pt-BR"/>
        </w:rPr>
        <w:t>1, § 1º</w:t>
      </w:r>
      <w:r w:rsidR="00624D13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1F365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da Constituição Federal</w:t>
      </w:r>
      <w:r w:rsidR="00A603E0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Pr="00BE043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estabelece o rol de hipóteses de iniciativa privativa do Chefe do Poder Executivo</w:t>
      </w:r>
      <w:r w:rsidR="00600F21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</w:p>
    <w:p w:rsidR="00BE043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Artigo 24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BE043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[...]</w:t>
      </w:r>
    </w:p>
    <w:p w:rsidR="00BE043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§ 2º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-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Compete, exclusivamente, ao Governador do Estado a iniciativa das leis que disponham sobre:</w:t>
      </w:r>
    </w:p>
    <w:p w:rsidR="00BE043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1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- criação e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extinção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de cargos, funções ou empregos públicos na administração direta e autárquica, bem como a fixação da respectiva remuneração;</w:t>
      </w:r>
    </w:p>
    <w:p w:rsidR="00BE043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2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BE043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3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-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organização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da Procuradoria Geral do Estado e da Defensoria Pública do Estado, observadas as normas gerais da União;</w:t>
      </w:r>
    </w:p>
    <w:p w:rsidR="00BE043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4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-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 xml:space="preserve">servidores públicos do Estado, seu regime jurídico, provimento de cargos, estabilidade e aposentadoria; </w:t>
      </w:r>
    </w:p>
    <w:p w:rsidR="00BE043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5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-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6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-</w:t>
      </w:r>
      <w:r w:rsidRPr="00BE0431">
        <w:rPr>
          <w:rFonts w:eastAsia="Times New Roman" w:cstheme="minorHAnsi"/>
          <w:i/>
          <w:lang w:eastAsia="pt-BR"/>
        </w:rPr>
        <w:t> </w:t>
      </w:r>
      <w:r w:rsidRPr="00BE0431">
        <w:rPr>
          <w:rFonts w:eastAsia="Times New Roman" w:cstheme="minorHAnsi"/>
          <w:i/>
          <w:color w:val="000000"/>
          <w:lang w:eastAsia="pt-BR"/>
        </w:rPr>
        <w:t>criação, alteração ou supressão de cartórios notariais e de registros públicos.</w:t>
      </w:r>
    </w:p>
    <w:p w:rsidR="00FF3801" w:rsidRPr="00BE0431" w:rsidP="00BE0431">
      <w:pPr>
        <w:spacing w:after="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</w:p>
    <w:p w:rsidR="00BE0431" w:rsidRPr="00BE0431" w:rsidP="00BE0431">
      <w:pPr>
        <w:spacing w:after="240" w:line="360" w:lineRule="auto"/>
        <w:ind w:firstLine="1701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E0431">
        <w:rPr>
          <w:rFonts w:eastAsia="Times New Roman" w:cstheme="minorHAnsi"/>
          <w:color w:val="000000"/>
          <w:sz w:val="24"/>
          <w:szCs w:val="24"/>
          <w:lang w:eastAsia="pt-BR"/>
        </w:rPr>
        <w:t>Na mesma linha, o art. 48, da Lei Orgânica do Município de Valinhos estabelece as matérias de deflagração exclusiva do Prefeito Municipal:</w:t>
      </w:r>
    </w:p>
    <w:p w:rsidR="00BE0431" w:rsidRPr="00BE0431" w:rsidP="00A603E0">
      <w:pPr>
        <w:spacing w:after="0" w:line="264" w:lineRule="auto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 xml:space="preserve">Art. 48. Compete, exclusivamente, ao Prefeito a iniciativa dos projetos de lei que disponham sobre: </w:t>
      </w:r>
    </w:p>
    <w:p w:rsidR="00BE0431" w:rsidRPr="00BE0431" w:rsidP="00A603E0">
      <w:pPr>
        <w:spacing w:after="0" w:line="264" w:lineRule="auto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I - criação e extinção de cargos, funções ou empregos públicos na administração direta e autárquica, bem como a fixação da respectiva remuneração;</w:t>
      </w:r>
    </w:p>
    <w:p w:rsidR="00BE0431" w:rsidRPr="00BE0431" w:rsidP="00A603E0">
      <w:pPr>
        <w:spacing w:after="0" w:line="264" w:lineRule="auto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 xml:space="preserve"> II - criação, estruturação e atribuições das Secretarias Municipais e órgãos da administração pública; </w:t>
      </w:r>
    </w:p>
    <w:p w:rsidR="00BE0431" w:rsidRPr="00BE0431" w:rsidP="00A603E0">
      <w:pPr>
        <w:spacing w:after="0" w:line="264" w:lineRule="auto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 xml:space="preserve">III - servidores públicos do Município, seu regime jurídico, provimento de cargos, estabilidade e aposentadoria; </w:t>
      </w:r>
    </w:p>
    <w:p w:rsidR="00BE0431" w:rsidRPr="00BE0431" w:rsidP="00A603E0">
      <w:pPr>
        <w:spacing w:after="0" w:line="264" w:lineRule="auto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BE0431">
        <w:rPr>
          <w:rFonts w:eastAsia="Times New Roman" w:cstheme="minorHAnsi"/>
          <w:i/>
          <w:color w:val="000000"/>
          <w:lang w:eastAsia="pt-BR"/>
        </w:rPr>
        <w:t>IV - abertura de créditos adicionais.</w:t>
      </w:r>
    </w:p>
    <w:p w:rsidR="00BE0431" w:rsidRPr="00A603E0" w:rsidP="004D12BA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eastAsia="Calibri" w:cstheme="minorHAnsi"/>
          <w:color w:val="FF0000"/>
          <w:sz w:val="4"/>
          <w:szCs w:val="4"/>
        </w:rPr>
      </w:pPr>
    </w:p>
    <w:p w:rsidR="004752D0" w:rsidRPr="0026717A" w:rsidP="004752D0">
      <w:pPr>
        <w:pStyle w:val="Default"/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 w:rsidRPr="0026717A">
        <w:rPr>
          <w:rFonts w:asciiTheme="minorHAnsi" w:hAnsiTheme="minorHAnsi" w:cs="Calibri"/>
          <w:color w:val="auto"/>
        </w:rPr>
        <w:t>Acerca dos limites da competência legislativa municipal dos membros do Poder Legislativo destacamos</w:t>
      </w:r>
      <w:r w:rsidRPr="0026717A">
        <w:rPr>
          <w:rFonts w:asciiTheme="minorHAnsi" w:hAnsiTheme="minorHAnsi" w:cs="Calibri"/>
          <w:b/>
          <w:color w:val="auto"/>
        </w:rPr>
        <w:t xml:space="preserve"> </w:t>
      </w:r>
      <w:r w:rsidRPr="0026717A">
        <w:rPr>
          <w:rFonts w:asciiTheme="minorHAnsi" w:hAnsiTheme="minorHAnsi" w:cs="Calibri"/>
          <w:color w:val="auto"/>
        </w:rPr>
        <w:t xml:space="preserve">decisão do Colendo Supremo Tribunal Federal que forneceu paradigma nesse sentido. Trata-se do </w:t>
      </w:r>
      <w:r w:rsidRPr="0026717A">
        <w:rPr>
          <w:rFonts w:asciiTheme="minorHAnsi" w:hAnsiTheme="minorHAnsi" w:cs="Calibri"/>
          <w:b/>
          <w:color w:val="auto"/>
        </w:rPr>
        <w:t>Tema nº 917 de repercussão geral (Paradigma ARE 878911)</w:t>
      </w:r>
      <w:r w:rsidRPr="0026717A">
        <w:rPr>
          <w:rFonts w:asciiTheme="minorHAnsi" w:hAnsiTheme="minorHAnsi" w:cs="Calibri"/>
          <w:color w:val="auto"/>
        </w:rPr>
        <w:t xml:space="preserve"> com a seguinte redação:</w:t>
      </w:r>
    </w:p>
    <w:p w:rsidR="004752D0" w:rsidRPr="00A603E0" w:rsidP="00A603E0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FC4FD5" w:rsidP="00A603E0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603E0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Pr="00A603E0">
        <w:rPr>
          <w:rFonts w:asciiTheme="minorHAnsi" w:hAnsiTheme="minorHAnsi" w:cstheme="minorHAnsi"/>
          <w:b/>
          <w:i/>
          <w:color w:val="auto"/>
          <w:sz w:val="22"/>
          <w:szCs w:val="22"/>
        </w:rPr>
        <w:t>que, embora crie despesa para a Administração Pública, não trata da sua estrutura ou da atribuição de seus órgãos nem do regime jurídico de servidores públicos.</w:t>
      </w:r>
      <w:r w:rsidRPr="00A603E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</w:t>
      </w:r>
    </w:p>
    <w:p w:rsidR="0019746E" w:rsidRPr="00FC4FD5" w:rsidP="00A603E0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C4FD5">
        <w:rPr>
          <w:rFonts w:asciiTheme="minorHAnsi" w:hAnsiTheme="minorHAnsi" w:cstheme="minorHAnsi"/>
          <w:i/>
          <w:color w:val="auto"/>
          <w:sz w:val="22"/>
          <w:szCs w:val="22"/>
        </w:rPr>
        <w:t xml:space="preserve">(ARE 878911 RG, </w:t>
      </w:r>
      <w:r w:rsidRPr="00FC4FD5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FC4FD5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  <w:r w:rsidRPr="00FC4FD5">
        <w:rPr>
          <w:rFonts w:asciiTheme="minorHAnsi" w:hAnsiTheme="minorHAnsi" w:cstheme="minorHAnsi"/>
          <w:i/>
          <w:color w:val="auto"/>
          <w:sz w:val="22"/>
          <w:szCs w:val="22"/>
        </w:rPr>
        <w:t>.Grifo nosso.</w:t>
      </w:r>
    </w:p>
    <w:p w:rsidR="001A14BF" w:rsidRPr="00FC4FD5" w:rsidP="00A603E0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F0355F" w:rsidP="00571D71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2A03B4">
        <w:rPr>
          <w:rFonts w:asciiTheme="minorHAnsi" w:hAnsiTheme="minorHAnsi" w:cstheme="minorHAnsi"/>
          <w:color w:val="auto"/>
        </w:rPr>
        <w:t xml:space="preserve">Consoante entendimento da C. </w:t>
      </w:r>
      <w:r w:rsidR="005B491E">
        <w:rPr>
          <w:rFonts w:asciiTheme="minorHAnsi" w:hAnsiTheme="minorHAnsi" w:cstheme="minorHAnsi"/>
          <w:color w:val="auto"/>
        </w:rPr>
        <w:t>Suprema Corte (tese</w:t>
      </w:r>
      <w:r w:rsidRPr="002A03B4">
        <w:rPr>
          <w:rFonts w:asciiTheme="minorHAnsi" w:hAnsiTheme="minorHAnsi" w:cstheme="minorHAnsi"/>
          <w:color w:val="auto"/>
        </w:rPr>
        <w:t xml:space="preserve"> de repercussão geral nº 917) extrai-se que a iniciativa dos vereadores é ampla, encontrando limites naqueles assuntos afetos diretamente ao Chefe do Poder Executivo, notadamente, a estruturação da Administração Pública, a atribuição de seus órgãos e o regime jurídico de servidores públicos, ainda que as propostas legislativas impliquem em criação de despesas.</w:t>
      </w:r>
    </w:p>
    <w:p w:rsidR="009A42DA" w:rsidRPr="0084194B" w:rsidP="00FE4DD9">
      <w:pPr>
        <w:spacing w:before="120" w:after="240" w:line="360" w:lineRule="auto"/>
        <w:ind w:firstLine="17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i/>
          <w:sz w:val="24"/>
          <w:szCs w:val="24"/>
        </w:rPr>
        <w:t>In casu,</w:t>
      </w:r>
      <w:r w:rsidRPr="005B491E" w:rsidR="00FE4DD9">
        <w:rPr>
          <w:rFonts w:cstheme="minorHAnsi"/>
          <w:sz w:val="24"/>
          <w:szCs w:val="24"/>
        </w:rPr>
        <w:t xml:space="preserve"> </w:t>
      </w:r>
      <w:r w:rsidRPr="005B491E" w:rsidR="005B491E">
        <w:rPr>
          <w:rFonts w:cstheme="minorHAnsi"/>
          <w:sz w:val="24"/>
          <w:szCs w:val="24"/>
        </w:rPr>
        <w:t xml:space="preserve">a propositura </w:t>
      </w:r>
      <w:r w:rsidR="005A428A">
        <w:rPr>
          <w:rFonts w:cstheme="minorHAnsi"/>
          <w:sz w:val="24"/>
          <w:szCs w:val="24"/>
        </w:rPr>
        <w:t xml:space="preserve">visa </w:t>
      </w:r>
      <w:r>
        <w:rPr>
          <w:rFonts w:cstheme="minorHAnsi"/>
          <w:sz w:val="24"/>
          <w:szCs w:val="24"/>
        </w:rPr>
        <w:t xml:space="preserve">tornar obrigatória 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FF3801">
        <w:rPr>
          <w:rFonts w:cstheme="minorHAnsi"/>
          <w:bCs/>
          <w:sz w:val="24"/>
          <w:szCs w:val="24"/>
        </w:rPr>
        <w:t xml:space="preserve">exibição de vídeos educativos antidrogas nas aberturas de shows, eventos culturais e similares no </w:t>
      </w:r>
      <w:r>
        <w:rPr>
          <w:rFonts w:cstheme="minorHAnsi"/>
          <w:bCs/>
          <w:sz w:val="24"/>
          <w:szCs w:val="24"/>
        </w:rPr>
        <w:t>M</w:t>
      </w:r>
      <w:r w:rsidRPr="00FF3801">
        <w:rPr>
          <w:rFonts w:cstheme="minorHAnsi"/>
          <w:bCs/>
          <w:sz w:val="24"/>
          <w:szCs w:val="24"/>
        </w:rPr>
        <w:t>unicípio d</w:t>
      </w:r>
      <w:r>
        <w:rPr>
          <w:rFonts w:cstheme="minorHAnsi"/>
          <w:bCs/>
          <w:sz w:val="24"/>
          <w:szCs w:val="24"/>
        </w:rPr>
        <w:t>e V</w:t>
      </w:r>
      <w:r w:rsidRPr="00FF3801">
        <w:rPr>
          <w:rFonts w:cstheme="minorHAnsi"/>
          <w:bCs/>
          <w:sz w:val="24"/>
          <w:szCs w:val="24"/>
        </w:rPr>
        <w:t>alinhos</w:t>
      </w:r>
      <w:r>
        <w:rPr>
          <w:rFonts w:cstheme="minorHAnsi"/>
          <w:bCs/>
          <w:sz w:val="24"/>
          <w:szCs w:val="24"/>
        </w:rPr>
        <w:t>, matéria que não é de competência privativa do Executivo.</w:t>
      </w:r>
    </w:p>
    <w:p w:rsidR="005B491E" w:rsidRPr="0084194B" w:rsidP="0084194B">
      <w:pPr>
        <w:spacing w:before="120" w:after="240" w:line="360" w:lineRule="auto"/>
        <w:ind w:firstLine="1701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Corroborando esse entendimento</w:t>
      </w:r>
      <w:r w:rsidR="005A428A">
        <w:rPr>
          <w:rFonts w:cstheme="minorHAnsi"/>
          <w:bCs/>
          <w:sz w:val="24"/>
          <w:szCs w:val="24"/>
        </w:rPr>
        <w:t xml:space="preserve"> colacionamos</w:t>
      </w:r>
      <w:r w:rsidRPr="0084194B" w:rsidR="0084194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decisão</w:t>
      </w:r>
      <w:r w:rsidRPr="0084194B" w:rsidR="0084194B">
        <w:rPr>
          <w:rFonts w:cstheme="minorHAnsi"/>
          <w:bCs/>
          <w:sz w:val="24"/>
          <w:szCs w:val="24"/>
        </w:rPr>
        <w:t xml:space="preserve"> do Tribunal de Justiça Paulista</w:t>
      </w:r>
      <w:r w:rsidRPr="0084194B" w:rsidR="00FF3801">
        <w:rPr>
          <w:rFonts w:cstheme="minorHAnsi"/>
          <w:bCs/>
          <w:sz w:val="24"/>
          <w:szCs w:val="24"/>
        </w:rPr>
        <w:t>:</w:t>
      </w:r>
    </w:p>
    <w:p w:rsidR="00FC4FD5" w:rsidP="00FC4FD5">
      <w:pPr>
        <w:spacing w:after="0"/>
        <w:ind w:left="2268"/>
        <w:jc w:val="both"/>
        <w:rPr>
          <w:rFonts w:cstheme="minorHAnsi"/>
          <w:i/>
          <w:color w:val="000000"/>
          <w:shd w:val="clear" w:color="auto" w:fill="FFFFFF"/>
        </w:rPr>
      </w:pPr>
      <w:r w:rsidRPr="00FF3801">
        <w:rPr>
          <w:rFonts w:cstheme="minorHAnsi"/>
          <w:i/>
          <w:color w:val="000000"/>
          <w:shd w:val="clear" w:color="auto" w:fill="FFFFFF"/>
        </w:rPr>
        <w:t xml:space="preserve">AÇÃO DIRETA DE INCONSTITUCIONALIDADE – LEI Nº 5.106, DE 30 DE NOVEMBRO DE 2015, DO MUNICÍPIO DE TAUBATÉ, QUE TORNA </w:t>
      </w:r>
      <w:r w:rsidRPr="00FF3801">
        <w:rPr>
          <w:rFonts w:cstheme="minorHAnsi"/>
          <w:b/>
          <w:i/>
          <w:color w:val="000000"/>
          <w:shd w:val="clear" w:color="auto" w:fill="FFFFFF"/>
        </w:rPr>
        <w:t>OBRIGATÓRIA A EXIBIÇÃO DE VÍDEOS EDUCATIVOS ANTIDROGAS NAS ABERTURAS DE SHOWS E EVENTOS CULTURAIS, IMPONDO NORMAS DE CONDUTA À ADMINISTRAÇÃO MUNICIPAL</w:t>
      </w:r>
      <w:r w:rsidRPr="00FF3801">
        <w:rPr>
          <w:rFonts w:cstheme="minorHAnsi"/>
          <w:i/>
          <w:color w:val="000000"/>
          <w:shd w:val="clear" w:color="auto" w:fill="FFFFFF"/>
        </w:rPr>
        <w:t xml:space="preserve"> – ALEGAÇÃO DE USURPAÇÃO DA COMPETÊNCIA DA UNIÃO – NÃO VERIFICAÇÃO – </w:t>
      </w:r>
      <w:r w:rsidRPr="00FF3801">
        <w:rPr>
          <w:rFonts w:cstheme="minorHAnsi"/>
          <w:b/>
          <w:i/>
          <w:color w:val="000000"/>
          <w:shd w:val="clear" w:color="auto" w:fill="FFFFFF"/>
        </w:rPr>
        <w:t>COMPETÊNCIA MUNICIPAL SUPLEMENTAR PARA LEGISLAR SOBRE A MATÉRIA (CULTURA E PROTEÇÃO E DEFESA DA SAÚDE</w:t>
      </w:r>
      <w:r w:rsidRPr="00FF3801">
        <w:rPr>
          <w:rFonts w:cstheme="minorHAnsi"/>
          <w:i/>
          <w:color w:val="000000"/>
          <w:shd w:val="clear" w:color="auto" w:fill="FFFFFF"/>
        </w:rPr>
        <w:t xml:space="preserve">) – EXEGESE DO ARTIGO 219, PARÁGRAFO ÚNICO, </w:t>
      </w:r>
      <w:r w:rsidRPr="00FF3801">
        <w:rPr>
          <w:rFonts w:cstheme="minorHAnsi"/>
          <w:i/>
          <w:color w:val="000000"/>
          <w:shd w:val="clear" w:color="auto" w:fill="FFFFFF"/>
        </w:rPr>
        <w:t>1</w:t>
      </w:r>
      <w:r w:rsidRPr="00FF3801">
        <w:rPr>
          <w:rFonts w:cstheme="minorHAnsi"/>
          <w:i/>
          <w:color w:val="000000"/>
          <w:shd w:val="clear" w:color="auto" w:fill="FFFFFF"/>
        </w:rPr>
        <w:t xml:space="preserve"> E 3, DA CONSTITUIÇÃO DO ESTADO DE SÃO PAULO – </w:t>
      </w:r>
      <w:r w:rsidRPr="00FC4FD5">
        <w:rPr>
          <w:rFonts w:cstheme="minorHAnsi"/>
          <w:b/>
          <w:i/>
          <w:color w:val="000000"/>
          <w:shd w:val="clear" w:color="auto" w:fill="FFFFFF"/>
        </w:rPr>
        <w:t xml:space="preserve">MATÉRIA, AINDA, CUJA NORMATIZAÇÃO </w:t>
      </w:r>
      <w:r w:rsidRPr="00FC4FD5">
        <w:rPr>
          <w:rFonts w:cstheme="minorHAnsi"/>
          <w:b/>
          <w:i/>
          <w:color w:val="000000"/>
          <w:shd w:val="clear" w:color="auto" w:fill="FFFFFF"/>
        </w:rPr>
        <w:t xml:space="preserve">NÃO SE CARACTERIZA COMO DE INICIATIVA PRIVATIVA DO CHEFE DO EXECUTIVO – </w:t>
      </w:r>
      <w:r w:rsidRPr="00FF3801">
        <w:rPr>
          <w:rFonts w:cstheme="minorHAnsi"/>
          <w:b/>
          <w:i/>
          <w:color w:val="000000"/>
          <w:shd w:val="clear" w:color="auto" w:fill="FFFFFF"/>
        </w:rPr>
        <w:t>AÇÃO IMPROCEDENTE</w:t>
      </w:r>
      <w:r w:rsidRPr="00FF3801">
        <w:rPr>
          <w:rFonts w:cstheme="minorHAnsi"/>
          <w:i/>
          <w:color w:val="000000"/>
          <w:shd w:val="clear" w:color="auto" w:fill="FFFFFF"/>
        </w:rPr>
        <w:t>.</w:t>
      </w:r>
    </w:p>
    <w:p w:rsidR="00D90502" w:rsidP="00FC4FD5">
      <w:pPr>
        <w:spacing w:after="0"/>
        <w:ind w:left="2268"/>
        <w:jc w:val="both"/>
        <w:rPr>
          <w:rFonts w:cstheme="minorHAnsi"/>
          <w:i/>
          <w:color w:val="000000"/>
          <w:shd w:val="clear" w:color="auto" w:fill="FFFFFF"/>
        </w:rPr>
      </w:pPr>
      <w:r w:rsidRPr="00FF3801">
        <w:rPr>
          <w:rFonts w:cstheme="minorHAnsi"/>
          <w:i/>
          <w:color w:val="000000"/>
          <w:shd w:val="clear" w:color="auto" w:fill="FFFFFF"/>
        </w:rPr>
        <w:t>(TJSP;</w:t>
      </w:r>
      <w:r w:rsidRPr="00FF3801">
        <w:rPr>
          <w:rFonts w:cstheme="minorHAnsi"/>
          <w:i/>
          <w:color w:val="000000"/>
          <w:shd w:val="clear" w:color="auto" w:fill="FFFFFF"/>
        </w:rPr>
        <w:t xml:space="preserve">  </w:t>
      </w:r>
      <w:r w:rsidRPr="00FF3801">
        <w:rPr>
          <w:rFonts w:cstheme="minorHAnsi"/>
          <w:i/>
          <w:color w:val="000000"/>
          <w:shd w:val="clear" w:color="auto" w:fill="FFFFFF"/>
        </w:rPr>
        <w:t>Direta de Inconstitucionalidade 2084969-84.2018.8.26.0000; Relator (a): Ferraz de Arruda; Órgão Julgador: Órgão Especial; Tribunal de Justiça de São Paulo - N/A; Data do Julgamento: 29/08/2018; Data de Registro: 10/09/2018)</w:t>
      </w:r>
    </w:p>
    <w:p w:rsidR="00B71FEA" w:rsidRPr="00FF3801" w:rsidP="00FF3801">
      <w:pPr>
        <w:spacing w:after="0" w:line="240" w:lineRule="auto"/>
        <w:ind w:left="2268"/>
        <w:jc w:val="both"/>
        <w:rPr>
          <w:rFonts w:cstheme="minorHAnsi"/>
          <w:i/>
          <w:color w:val="000000"/>
          <w:shd w:val="clear" w:color="auto" w:fill="FFFFFF"/>
        </w:rPr>
      </w:pPr>
    </w:p>
    <w:p w:rsidR="00FF3801" w:rsidP="00FF3801">
      <w:pPr>
        <w:spacing w:after="0" w:line="240" w:lineRule="auto"/>
        <w:ind w:left="22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540CCC" w:rsidRPr="00B71FEA" w:rsidP="00FF3801">
      <w:pPr>
        <w:spacing w:after="240" w:line="360" w:lineRule="auto"/>
        <w:ind w:firstLine="1701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B71FEA">
        <w:rPr>
          <w:rFonts w:ascii="Calibri" w:hAnsi="Calibri" w:cs="Calibri"/>
          <w:sz w:val="24"/>
          <w:szCs w:val="24"/>
          <w:u w:val="single"/>
        </w:rPr>
        <w:t>Todavia</w:t>
      </w:r>
      <w:r w:rsidRPr="00B71FEA" w:rsidR="00E660FC">
        <w:rPr>
          <w:rFonts w:ascii="Calibri" w:hAnsi="Calibri" w:cs="Calibri"/>
          <w:sz w:val="24"/>
          <w:szCs w:val="24"/>
          <w:u w:val="single"/>
        </w:rPr>
        <w:t xml:space="preserve">, </w:t>
      </w:r>
      <w:r w:rsidRPr="00B71FEA" w:rsidR="00F44AA2">
        <w:rPr>
          <w:rFonts w:cstheme="minorHAnsi"/>
          <w:sz w:val="24"/>
          <w:szCs w:val="24"/>
          <w:u w:val="single"/>
        </w:rPr>
        <w:t xml:space="preserve">recomenda-se a </w:t>
      </w:r>
      <w:r w:rsidRPr="00B71FEA" w:rsidR="00FF3801">
        <w:rPr>
          <w:rFonts w:cstheme="minorHAnsi"/>
          <w:sz w:val="24"/>
          <w:szCs w:val="24"/>
          <w:u w:val="single"/>
        </w:rPr>
        <w:t xml:space="preserve">supressão </w:t>
      </w:r>
      <w:r w:rsidRPr="00B71FEA" w:rsidR="00F44AA2">
        <w:rPr>
          <w:rFonts w:cstheme="minorHAnsi"/>
          <w:sz w:val="24"/>
          <w:szCs w:val="24"/>
          <w:u w:val="single"/>
        </w:rPr>
        <w:t>do art.</w:t>
      </w:r>
      <w:r w:rsidRPr="00B71FEA" w:rsidR="00D320F4">
        <w:rPr>
          <w:rFonts w:cstheme="minorHAnsi"/>
          <w:sz w:val="24"/>
          <w:szCs w:val="24"/>
          <w:u w:val="single"/>
        </w:rPr>
        <w:t xml:space="preserve"> </w:t>
      </w:r>
      <w:r w:rsidRPr="00B71FEA" w:rsidR="00FF3801">
        <w:rPr>
          <w:rFonts w:cstheme="minorHAnsi"/>
          <w:sz w:val="24"/>
          <w:szCs w:val="24"/>
          <w:u w:val="single"/>
        </w:rPr>
        <w:t>4</w:t>
      </w:r>
      <w:r w:rsidRPr="00B71FEA" w:rsidR="00F44AA2">
        <w:rPr>
          <w:rFonts w:cstheme="minorHAnsi"/>
          <w:sz w:val="24"/>
          <w:szCs w:val="24"/>
          <w:u w:val="single"/>
        </w:rPr>
        <w:t>º</w:t>
      </w:r>
      <w:r w:rsidRPr="00B71FEA" w:rsidR="00D320F4">
        <w:rPr>
          <w:rFonts w:cstheme="minorHAnsi"/>
          <w:sz w:val="24"/>
          <w:szCs w:val="24"/>
          <w:u w:val="single"/>
        </w:rPr>
        <w:t>,</w:t>
      </w:r>
      <w:r w:rsidRPr="00B71FEA" w:rsidR="00F44AA2">
        <w:rPr>
          <w:rFonts w:cstheme="minorHAnsi"/>
          <w:sz w:val="24"/>
          <w:szCs w:val="24"/>
          <w:u w:val="single"/>
        </w:rPr>
        <w:t xml:space="preserve"> </w:t>
      </w:r>
      <w:r w:rsidRPr="00B71FEA" w:rsidR="00FF3801">
        <w:rPr>
          <w:rFonts w:cstheme="minorHAnsi"/>
          <w:sz w:val="24"/>
          <w:szCs w:val="24"/>
          <w:u w:val="single"/>
        </w:rPr>
        <w:t xml:space="preserve">porquanto adentra em matéria de competência privativa do </w:t>
      </w:r>
      <w:r w:rsidRPr="00B71FEA" w:rsidR="00815EB1">
        <w:rPr>
          <w:rFonts w:cstheme="minorHAnsi"/>
          <w:sz w:val="24"/>
          <w:szCs w:val="24"/>
          <w:u w:val="single"/>
        </w:rPr>
        <w:t>Exec</w:t>
      </w:r>
      <w:r w:rsidRPr="00B71FEA" w:rsidR="00F44AA2">
        <w:rPr>
          <w:rFonts w:cstheme="minorHAnsi"/>
          <w:sz w:val="24"/>
          <w:szCs w:val="24"/>
          <w:u w:val="single"/>
        </w:rPr>
        <w:t xml:space="preserve">utivo </w:t>
      </w:r>
      <w:r w:rsidRPr="00B71FEA" w:rsidR="00FF3801">
        <w:rPr>
          <w:rFonts w:cstheme="minorHAnsi"/>
          <w:sz w:val="24"/>
          <w:szCs w:val="24"/>
          <w:u w:val="single"/>
        </w:rPr>
        <w:t>atinente às atribuições dos órgãos municipais.</w:t>
      </w:r>
    </w:p>
    <w:p w:rsidR="00B71FEA" w:rsidP="009F20E3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B71FEA">
        <w:rPr>
          <w:rFonts w:ascii="Calibri" w:hAnsi="Calibri" w:cs="Calibri"/>
          <w:sz w:val="24"/>
          <w:szCs w:val="24"/>
          <w:u w:val="single"/>
        </w:rPr>
        <w:t>Sugere-se, também,</w:t>
      </w:r>
      <w:r w:rsidRPr="00B71FEA" w:rsidR="00A603E0">
        <w:rPr>
          <w:rFonts w:ascii="Calibri" w:hAnsi="Calibri" w:cs="Calibri"/>
          <w:sz w:val="24"/>
          <w:szCs w:val="24"/>
          <w:u w:val="single"/>
        </w:rPr>
        <w:t xml:space="preserve"> a supressão do</w:t>
      </w:r>
      <w:r w:rsidRPr="00B71FEA" w:rsidR="00FF3801">
        <w:rPr>
          <w:rFonts w:ascii="Calibri" w:hAnsi="Calibri" w:cs="Calibri"/>
          <w:sz w:val="24"/>
          <w:szCs w:val="24"/>
          <w:u w:val="single"/>
        </w:rPr>
        <w:t xml:space="preserve"> prazo para regulamentação fixado no</w:t>
      </w:r>
      <w:r w:rsidRPr="00B71FEA" w:rsidR="00A603E0">
        <w:rPr>
          <w:rFonts w:ascii="Calibri" w:hAnsi="Calibri" w:cs="Calibri"/>
          <w:sz w:val="24"/>
          <w:szCs w:val="24"/>
          <w:u w:val="single"/>
        </w:rPr>
        <w:t xml:space="preserve"> art. 5º do projeto</w:t>
      </w:r>
      <w:r w:rsidRPr="00B71FEA" w:rsidR="00FF3801">
        <w:rPr>
          <w:rFonts w:ascii="Calibri" w:hAnsi="Calibri" w:cs="Calibri"/>
          <w:sz w:val="24"/>
          <w:szCs w:val="24"/>
        </w:rPr>
        <w:t xml:space="preserve">, </w:t>
      </w:r>
      <w:r w:rsidRPr="00B71FEA">
        <w:rPr>
          <w:rFonts w:ascii="Calibri" w:hAnsi="Calibri" w:cs="Calibri"/>
          <w:sz w:val="24"/>
          <w:szCs w:val="24"/>
        </w:rPr>
        <w:t xml:space="preserve">porquanto vislumbramos mácula ao princípio da separação de poderes ao estabelecer prazo para que a Administração regulamente a lei. </w:t>
      </w:r>
    </w:p>
    <w:p w:rsidR="00FF3801" w:rsidP="009F20E3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B71FEA">
        <w:rPr>
          <w:rFonts w:ascii="Calibri" w:hAnsi="Calibri" w:cs="Calibri"/>
          <w:sz w:val="24"/>
          <w:szCs w:val="24"/>
        </w:rPr>
        <w:t>Nesse sentido</w:t>
      </w:r>
      <w:r>
        <w:rPr>
          <w:rFonts w:ascii="Calibri" w:hAnsi="Calibri" w:cs="Calibri"/>
          <w:sz w:val="24"/>
          <w:szCs w:val="24"/>
        </w:rPr>
        <w:t xml:space="preserve"> colacionamos entendimento da Corte Paulista</w:t>
      </w:r>
      <w:r w:rsidRPr="00B71FEA">
        <w:rPr>
          <w:rFonts w:ascii="Calibri" w:hAnsi="Calibri" w:cs="Calibri"/>
          <w:sz w:val="24"/>
          <w:szCs w:val="24"/>
        </w:rPr>
        <w:t>:</w:t>
      </w:r>
    </w:p>
    <w:p w:rsidR="00B71FEA" w:rsidP="00FC4FD5">
      <w:pPr>
        <w:spacing w:after="120" w:line="300" w:lineRule="auto"/>
        <w:ind w:left="2268"/>
        <w:jc w:val="both"/>
        <w:rPr>
          <w:rFonts w:cstheme="minorHAnsi"/>
          <w:i/>
          <w:color w:val="000000"/>
          <w:shd w:val="clear" w:color="auto" w:fill="FFFFFF"/>
        </w:rPr>
      </w:pPr>
      <w:r w:rsidRPr="00B71FEA">
        <w:rPr>
          <w:rFonts w:cstheme="minorHAnsi"/>
          <w:i/>
          <w:color w:val="000000"/>
          <w:shd w:val="clear" w:color="auto" w:fill="FFFFFF"/>
        </w:rPr>
        <w:t xml:space="preserve">Ação direta de inconstitucionalidade proposta pelo prefeito do Município de Fernando Prestes contra a Lei municipal 2.337/2021, que Proíbe o manuseio, a utilização, a queima e a soltura de fogos de estampidos e de artifícios, assim como de quaisquer artefatos pirotécnicos de efeito sonoro ruidoso no Município de Fernando Prestes, e dá outras providências. Matéria que não é de iniciativa exclusiva do poder executivo. </w:t>
      </w:r>
      <w:r>
        <w:rPr>
          <w:rFonts w:cstheme="minorHAnsi"/>
          <w:i/>
          <w:color w:val="000000"/>
          <w:shd w:val="clear" w:color="auto" w:fill="FFFFFF"/>
        </w:rPr>
        <w:t>A</w:t>
      </w:r>
      <w:r w:rsidRPr="00B71FEA">
        <w:rPr>
          <w:rFonts w:cstheme="minorHAnsi"/>
          <w:i/>
          <w:color w:val="000000"/>
          <w:shd w:val="clear" w:color="auto" w:fill="FFFFFF"/>
        </w:rPr>
        <w:t xml:space="preserve">usência de </w:t>
      </w:r>
      <w:r>
        <w:rPr>
          <w:rFonts w:cstheme="minorHAnsi"/>
          <w:i/>
          <w:color w:val="000000"/>
          <w:shd w:val="clear" w:color="auto" w:fill="FFFFFF"/>
        </w:rPr>
        <w:t>o</w:t>
      </w:r>
      <w:r w:rsidRPr="00B71FEA">
        <w:rPr>
          <w:rFonts w:cstheme="minorHAnsi"/>
          <w:i/>
          <w:color w:val="000000"/>
          <w:shd w:val="clear" w:color="auto" w:fill="FFFFFF"/>
        </w:rPr>
        <w:t>fensa ao prin</w:t>
      </w:r>
      <w:r>
        <w:rPr>
          <w:rFonts w:cstheme="minorHAnsi"/>
          <w:i/>
          <w:color w:val="000000"/>
          <w:shd w:val="clear" w:color="auto" w:fill="FFFFFF"/>
        </w:rPr>
        <w:t>cípio da separação de poderes. P</w:t>
      </w:r>
      <w:r w:rsidRPr="00B71FEA">
        <w:rPr>
          <w:rFonts w:cstheme="minorHAnsi"/>
          <w:i/>
          <w:color w:val="000000"/>
          <w:shd w:val="clear" w:color="auto" w:fill="FFFFFF"/>
        </w:rPr>
        <w:t xml:space="preserve">recedentes deste órgão especial em casos análogos. </w:t>
      </w:r>
      <w:r w:rsidRPr="00B71FEA">
        <w:rPr>
          <w:rFonts w:cstheme="minorHAnsi"/>
          <w:b/>
          <w:i/>
          <w:color w:val="000000"/>
          <w:shd w:val="clear" w:color="auto" w:fill="FFFFFF"/>
        </w:rPr>
        <w:t xml:space="preserve">Imposição de prazo para regulamentação da lei e disposições quanto à fiscalização. </w:t>
      </w:r>
      <w:r>
        <w:rPr>
          <w:rFonts w:cstheme="minorHAnsi"/>
          <w:b/>
          <w:i/>
          <w:color w:val="000000"/>
          <w:shd w:val="clear" w:color="auto" w:fill="FFFFFF"/>
        </w:rPr>
        <w:t>I</w:t>
      </w:r>
      <w:r w:rsidRPr="00B71FEA">
        <w:rPr>
          <w:rFonts w:cstheme="minorHAnsi"/>
          <w:b/>
          <w:i/>
          <w:color w:val="000000"/>
          <w:shd w:val="clear" w:color="auto" w:fill="FFFFFF"/>
        </w:rPr>
        <w:t>nconstitucionalidade configurada, pois constatada afronta aos arts. 5º, 47, II, XIV e XIX, "a", e 144 da Constituição do Estado de São Paulo. Ação procedente em parte</w:t>
      </w:r>
      <w:r w:rsidRPr="00B71FEA">
        <w:rPr>
          <w:rFonts w:cstheme="minorHAnsi"/>
          <w:i/>
          <w:color w:val="000000"/>
          <w:shd w:val="clear" w:color="auto" w:fill="FFFFFF"/>
        </w:rPr>
        <w:t>, para declarar a inconstitucionalidade da expressão "no prazo de 90 (noventa) dias a contar da data da sua publicação", constante do art. 7º da Lei nº 2.337/2021, bem como dos arts. 4º e 5º da mencionada lei do Município de Fernando Prestes. (TJSP;</w:t>
      </w:r>
      <w:r w:rsidRPr="00B71FEA">
        <w:rPr>
          <w:rFonts w:cstheme="minorHAnsi"/>
          <w:i/>
          <w:color w:val="000000"/>
          <w:shd w:val="clear" w:color="auto" w:fill="FFFFFF"/>
        </w:rPr>
        <w:t xml:space="preserve">  </w:t>
      </w:r>
      <w:r w:rsidRPr="00B71FEA">
        <w:rPr>
          <w:rFonts w:cstheme="minorHAnsi"/>
          <w:i/>
          <w:color w:val="000000"/>
          <w:shd w:val="clear" w:color="auto" w:fill="FFFFFF"/>
        </w:rPr>
        <w:t xml:space="preserve">Direta de </w:t>
      </w:r>
      <w:r w:rsidRPr="00B71FEA">
        <w:rPr>
          <w:rFonts w:cstheme="minorHAnsi"/>
          <w:i/>
          <w:color w:val="000000"/>
          <w:shd w:val="clear" w:color="auto" w:fill="FFFFFF"/>
        </w:rPr>
        <w:t>Inconstitucionalidade 2111710-25.2022.8.26.0000; Relator (a): Campos Mello; Órgão Julgador: Órgão Especial; Tribunal de Justiça de São Paulo - N/A; Data do Julgamento: 28/09/2022; Data de Registro: 29/09/2022)</w:t>
      </w:r>
    </w:p>
    <w:p w:rsidR="00B71FEA" w:rsidP="00B71FEA">
      <w:pPr>
        <w:spacing w:after="0" w:line="240" w:lineRule="auto"/>
        <w:ind w:left="2268"/>
        <w:jc w:val="both"/>
        <w:rPr>
          <w:rFonts w:cstheme="minorHAnsi"/>
          <w:i/>
          <w:color w:val="000000"/>
          <w:shd w:val="clear" w:color="auto" w:fill="FFFFFF"/>
        </w:rPr>
      </w:pPr>
    </w:p>
    <w:p w:rsidR="00B71FEA" w:rsidRPr="00B71FEA" w:rsidP="00B71FEA">
      <w:pPr>
        <w:spacing w:after="0" w:line="240" w:lineRule="auto"/>
        <w:ind w:left="2268"/>
        <w:jc w:val="both"/>
        <w:rPr>
          <w:rFonts w:cstheme="minorHAnsi"/>
          <w:i/>
          <w:u w:val="single"/>
        </w:rPr>
      </w:pPr>
    </w:p>
    <w:p w:rsidR="00A948F5" w:rsidRPr="00B71FEA" w:rsidP="009F20E3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B71FEA">
        <w:rPr>
          <w:rFonts w:ascii="Calibri" w:hAnsi="Calibri" w:cs="Calibri"/>
          <w:sz w:val="24"/>
          <w:szCs w:val="24"/>
          <w:u w:val="single"/>
        </w:rPr>
        <w:t xml:space="preserve">Ainda, a título de colaboração e sem qualquer pretensão de adentrar no mérito do projeto, sugere-se </w:t>
      </w:r>
      <w:r w:rsidR="00FC4FD5">
        <w:rPr>
          <w:rFonts w:ascii="Calibri" w:hAnsi="Calibri" w:cs="Calibri"/>
          <w:i/>
          <w:sz w:val="24"/>
          <w:szCs w:val="24"/>
          <w:u w:val="single"/>
        </w:rPr>
        <w:t xml:space="preserve">data máxima vênia </w:t>
      </w:r>
      <w:bookmarkStart w:id="2" w:name="_GoBack"/>
      <w:bookmarkEnd w:id="2"/>
      <w:r w:rsidRPr="00B71FEA">
        <w:rPr>
          <w:rFonts w:ascii="Calibri" w:hAnsi="Calibri" w:cs="Calibri"/>
          <w:sz w:val="24"/>
          <w:szCs w:val="24"/>
          <w:u w:val="single"/>
        </w:rPr>
        <w:t>a inclusão de dispositivo versando sobre as penalidades em caso de descumprimento da norma</w:t>
      </w:r>
      <w:r w:rsidRPr="00B71FEA" w:rsidR="00E660FC">
        <w:rPr>
          <w:rFonts w:ascii="Calibri" w:hAnsi="Calibri" w:cs="Calibri"/>
          <w:sz w:val="24"/>
          <w:szCs w:val="24"/>
        </w:rPr>
        <w:t>.</w:t>
      </w:r>
    </w:p>
    <w:p w:rsidR="00E77FBF" w:rsidRPr="00B71FEA" w:rsidP="00E77FBF">
      <w:pPr>
        <w:spacing w:after="120" w:line="360" w:lineRule="auto"/>
        <w:ind w:firstLine="1701"/>
        <w:jc w:val="both"/>
        <w:rPr>
          <w:rFonts w:ascii="Calibri" w:hAnsi="Calibri" w:cs="TimesNewRomanPSMT"/>
          <w:sz w:val="24"/>
          <w:szCs w:val="24"/>
        </w:rPr>
      </w:pPr>
      <w:r w:rsidRPr="00B71FEA">
        <w:rPr>
          <w:rFonts w:ascii="Calibri" w:hAnsi="Calibri" w:cs="TimesNewRomanPSMT"/>
          <w:sz w:val="24"/>
          <w:szCs w:val="24"/>
        </w:rPr>
        <w:t>Por fim, no que se refere aos preceitos da Lei Complementar nº 95 de 1998 que dispõe sobre a elaboração, a redação, a alteração e a consolidação das leis, conforme determina o parágrafo único do a</w:t>
      </w:r>
      <w:r w:rsidRPr="00B71FEA" w:rsidR="00F57701">
        <w:rPr>
          <w:rFonts w:ascii="Calibri" w:hAnsi="Calibri" w:cs="TimesNewRomanPSMT"/>
          <w:sz w:val="24"/>
          <w:szCs w:val="24"/>
        </w:rPr>
        <w:t>rt. 59 da Constituição Federal</w:t>
      </w:r>
      <w:r w:rsidRPr="00B71FEA">
        <w:rPr>
          <w:rFonts w:ascii="Calibri" w:hAnsi="Calibri" w:cs="TimesNewRomanPSMT"/>
          <w:i/>
          <w:sz w:val="24"/>
          <w:szCs w:val="24"/>
        </w:rPr>
        <w:t xml:space="preserve">, </w:t>
      </w:r>
      <w:r w:rsidRPr="00B71FEA" w:rsidR="00F57701">
        <w:rPr>
          <w:rFonts w:ascii="Calibri" w:hAnsi="Calibri" w:cs="TimesNewRomanPSMT"/>
          <w:sz w:val="24"/>
          <w:szCs w:val="24"/>
        </w:rPr>
        <w:t>observamos que o projeto</w:t>
      </w:r>
      <w:r w:rsidRPr="00B71FEA" w:rsidR="00333906">
        <w:rPr>
          <w:rFonts w:ascii="Calibri" w:hAnsi="Calibri" w:cs="TimesNewRomanPSMT"/>
          <w:sz w:val="24"/>
          <w:szCs w:val="24"/>
        </w:rPr>
        <w:t xml:space="preserve"> atende</w:t>
      </w:r>
      <w:r w:rsidRPr="00B71FEA">
        <w:rPr>
          <w:rFonts w:ascii="Calibri" w:hAnsi="Calibri" w:cs="TimesNewRomanPSMT"/>
          <w:sz w:val="24"/>
          <w:szCs w:val="24"/>
        </w:rPr>
        <w:t xml:space="preserve"> ao disposto </w:t>
      </w:r>
      <w:r w:rsidRPr="00B71FEA" w:rsidR="00F57701">
        <w:rPr>
          <w:rFonts w:ascii="Calibri" w:hAnsi="Calibri" w:cs="TimesNewRomanPSMT"/>
          <w:sz w:val="24"/>
          <w:szCs w:val="24"/>
        </w:rPr>
        <w:t>no r</w:t>
      </w:r>
      <w:r w:rsidRPr="00B71FEA">
        <w:rPr>
          <w:rFonts w:ascii="Calibri" w:hAnsi="Calibri" w:cs="TimesNewRomanPSMT"/>
          <w:sz w:val="24"/>
          <w:szCs w:val="24"/>
        </w:rPr>
        <w:t>eferido diploma legal.</w:t>
      </w:r>
    </w:p>
    <w:p w:rsidR="00CE0097" w:rsidRPr="00752544" w:rsidP="00CE0097">
      <w:pPr>
        <w:spacing w:after="120" w:line="360" w:lineRule="auto"/>
        <w:ind w:firstLine="1701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B71FEA">
        <w:rPr>
          <w:rFonts w:eastAsia="Times New Roman" w:cstheme="minorHAnsi"/>
          <w:sz w:val="24"/>
          <w:szCs w:val="24"/>
          <w:lang w:eastAsia="pt-BR"/>
        </w:rPr>
        <w:t xml:space="preserve">Ante todo o exposto, </w:t>
      </w:r>
      <w:r w:rsidRPr="00B71FEA" w:rsidR="005B491E">
        <w:rPr>
          <w:rFonts w:eastAsia="Times New Roman" w:cstheme="minorHAnsi"/>
          <w:sz w:val="24"/>
          <w:szCs w:val="24"/>
          <w:lang w:eastAsia="pt-BR"/>
        </w:rPr>
        <w:t xml:space="preserve">s.m.j., </w:t>
      </w:r>
      <w:r w:rsidRPr="00B71FEA" w:rsidR="00E660FC">
        <w:rPr>
          <w:rFonts w:eastAsia="Times New Roman" w:cstheme="minorHAnsi"/>
          <w:sz w:val="24"/>
          <w:szCs w:val="24"/>
          <w:lang w:eastAsia="pt-BR"/>
        </w:rPr>
        <w:t>observada</w:t>
      </w:r>
      <w:r w:rsidRPr="00B71FEA" w:rsidR="00540CCC">
        <w:rPr>
          <w:rFonts w:eastAsia="Times New Roman" w:cstheme="minorHAnsi"/>
          <w:sz w:val="24"/>
          <w:szCs w:val="24"/>
          <w:lang w:eastAsia="pt-BR"/>
        </w:rPr>
        <w:t>s</w:t>
      </w:r>
      <w:r w:rsidRPr="00B71FEA" w:rsidR="00E660FC">
        <w:rPr>
          <w:rFonts w:eastAsia="Times New Roman" w:cstheme="minorHAnsi"/>
          <w:sz w:val="24"/>
          <w:szCs w:val="24"/>
          <w:lang w:eastAsia="pt-BR"/>
        </w:rPr>
        <w:t xml:space="preserve"> a</w:t>
      </w:r>
      <w:r w:rsidRPr="00B71FEA" w:rsidR="00540CCC">
        <w:rPr>
          <w:rFonts w:eastAsia="Times New Roman" w:cstheme="minorHAnsi"/>
          <w:sz w:val="24"/>
          <w:szCs w:val="24"/>
          <w:lang w:eastAsia="pt-BR"/>
        </w:rPr>
        <w:t xml:space="preserve">s ressalvas </w:t>
      </w:r>
      <w:r w:rsidRPr="00B71FEA" w:rsidR="00E660FC">
        <w:rPr>
          <w:rFonts w:eastAsia="Times New Roman" w:cstheme="minorHAnsi"/>
          <w:sz w:val="24"/>
          <w:szCs w:val="24"/>
          <w:lang w:eastAsia="pt-BR"/>
        </w:rPr>
        <w:t>quanto ao</w:t>
      </w:r>
      <w:r w:rsidRPr="00B71FEA" w:rsidR="00BF78F6">
        <w:rPr>
          <w:rFonts w:eastAsia="Times New Roman" w:cstheme="minorHAnsi"/>
          <w:sz w:val="24"/>
          <w:szCs w:val="24"/>
          <w:lang w:eastAsia="pt-BR"/>
        </w:rPr>
        <w:t xml:space="preserve">s artigos </w:t>
      </w:r>
      <w:r w:rsidRPr="00B71FEA" w:rsidR="00FF3801">
        <w:rPr>
          <w:rFonts w:eastAsia="Times New Roman" w:cstheme="minorHAnsi"/>
          <w:sz w:val="24"/>
          <w:szCs w:val="24"/>
          <w:lang w:eastAsia="pt-BR"/>
        </w:rPr>
        <w:t>4</w:t>
      </w:r>
      <w:r w:rsidRPr="00B71FEA" w:rsidR="00BF78F6">
        <w:rPr>
          <w:rFonts w:eastAsia="Times New Roman" w:cstheme="minorHAnsi"/>
          <w:sz w:val="24"/>
          <w:szCs w:val="24"/>
          <w:lang w:eastAsia="pt-BR"/>
        </w:rPr>
        <w:t>º e</w:t>
      </w:r>
      <w:r w:rsidRPr="00B71FEA" w:rsidR="00E660FC">
        <w:rPr>
          <w:rFonts w:eastAsia="Times New Roman" w:cstheme="minorHAnsi"/>
          <w:sz w:val="24"/>
          <w:szCs w:val="24"/>
          <w:lang w:eastAsia="pt-BR"/>
        </w:rPr>
        <w:t xml:space="preserve"> 5º, </w:t>
      </w:r>
      <w:r w:rsidRPr="00B71FEA" w:rsidR="00E77FBF">
        <w:rPr>
          <w:rFonts w:eastAsia="Times New Roman" w:cstheme="minorHAnsi"/>
          <w:sz w:val="24"/>
          <w:szCs w:val="24"/>
          <w:lang w:eastAsia="pt-BR"/>
        </w:rPr>
        <w:t xml:space="preserve">infere-se que </w:t>
      </w:r>
      <w:r w:rsidRPr="00B71FEA" w:rsidR="00752544">
        <w:rPr>
          <w:rFonts w:ascii="Calibri" w:eastAsia="Calibri" w:hAnsi="Calibri" w:cs="Calibri"/>
          <w:sz w:val="24"/>
          <w:szCs w:val="24"/>
          <w:lang w:eastAsia="pt-BR"/>
        </w:rPr>
        <w:t>a proposta</w:t>
      </w:r>
      <w:r w:rsidRPr="00B71FEA" w:rsidR="00E660FC">
        <w:rPr>
          <w:rFonts w:ascii="Calibri" w:eastAsia="Calibri" w:hAnsi="Calibri" w:cs="Calibri"/>
          <w:sz w:val="24"/>
          <w:szCs w:val="24"/>
          <w:lang w:eastAsia="pt-BR"/>
        </w:rPr>
        <w:t xml:space="preserve"> poderá reunir</w:t>
      </w:r>
      <w:r w:rsidRPr="00B71FEA">
        <w:rPr>
          <w:rFonts w:ascii="Calibri" w:eastAsia="Calibri" w:hAnsi="Calibri" w:cs="Calibri"/>
          <w:sz w:val="24"/>
          <w:szCs w:val="24"/>
          <w:lang w:eastAsia="pt-BR"/>
        </w:rPr>
        <w:t xml:space="preserve"> condições d</w:t>
      </w:r>
      <w:r w:rsidRPr="00B71FEA" w:rsidR="00E91EA6">
        <w:rPr>
          <w:rFonts w:ascii="Calibri" w:eastAsia="Calibri" w:hAnsi="Calibri" w:cs="Calibri"/>
          <w:sz w:val="24"/>
          <w:szCs w:val="24"/>
          <w:lang w:eastAsia="pt-BR"/>
        </w:rPr>
        <w:t>e</w:t>
      </w:r>
      <w:r w:rsidRPr="00B71FEA" w:rsidR="00EA0F60">
        <w:rPr>
          <w:rFonts w:ascii="Calibri" w:eastAsia="Calibri" w:hAnsi="Calibri" w:cs="Calibri"/>
          <w:sz w:val="24"/>
          <w:szCs w:val="24"/>
          <w:lang w:eastAsia="pt-BR"/>
        </w:rPr>
        <w:t xml:space="preserve"> </w:t>
      </w:r>
      <w:r w:rsidRPr="00B71FEA">
        <w:rPr>
          <w:rFonts w:ascii="Calibri" w:eastAsia="Calibri" w:hAnsi="Calibri" w:cs="Calibri"/>
          <w:sz w:val="24"/>
          <w:szCs w:val="24"/>
          <w:lang w:eastAsia="pt-BR"/>
        </w:rPr>
        <w:t xml:space="preserve">constitucionalidade. </w:t>
      </w:r>
      <w:r w:rsidRPr="00B71FEA" w:rsidR="00E660FC">
        <w:rPr>
          <w:rFonts w:ascii="Calibri" w:eastAsia="Calibri" w:hAnsi="Calibri" w:cs="Calibri"/>
          <w:sz w:val="24"/>
          <w:szCs w:val="24"/>
          <w:lang w:eastAsia="pt-BR"/>
        </w:rPr>
        <w:t xml:space="preserve">No </w:t>
      </w:r>
      <w:r w:rsidRPr="00B71FEA">
        <w:rPr>
          <w:rFonts w:ascii="Calibri" w:eastAsia="Calibri" w:hAnsi="Calibri" w:cs="Calibri"/>
          <w:sz w:val="24"/>
          <w:szCs w:val="24"/>
          <w:lang w:eastAsia="pt-BR"/>
        </w:rPr>
        <w:t>mé</w:t>
      </w:r>
      <w:r w:rsidRPr="00B71FEA" w:rsidR="00B31B2D">
        <w:rPr>
          <w:rFonts w:ascii="Calibri" w:eastAsia="Calibri" w:hAnsi="Calibri" w:cs="Calibri"/>
          <w:sz w:val="24"/>
          <w:szCs w:val="24"/>
          <w:lang w:eastAsia="pt-BR"/>
        </w:rPr>
        <w:t>rito, o</w:t>
      </w:r>
      <w:r w:rsidRPr="00B71FEA">
        <w:rPr>
          <w:rFonts w:ascii="Calibri" w:eastAsia="Calibri" w:hAnsi="Calibri" w:cs="Calibri"/>
          <w:sz w:val="24"/>
          <w:szCs w:val="24"/>
          <w:lang w:eastAsia="pt-BR"/>
        </w:rPr>
        <w:t xml:space="preserve"> Plenário</w:t>
      </w:r>
      <w:r w:rsidRPr="00B71FEA" w:rsidR="00B31B2D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</w:t>
      </w:r>
      <w:r w:rsidRPr="00B71FEA" w:rsidR="00B31B2D">
        <w:rPr>
          <w:rFonts w:ascii="Calibri" w:eastAsia="Calibri" w:hAnsi="Calibri" w:cs="Calibri"/>
          <w:sz w:val="24"/>
          <w:szCs w:val="24"/>
          <w:lang w:eastAsia="pt-BR"/>
        </w:rPr>
        <w:t>é soberano</w:t>
      </w:r>
      <w:r w:rsidRPr="00752544" w:rsidR="00B31B2D">
        <w:rPr>
          <w:rFonts w:ascii="Calibri" w:eastAsia="Calibri" w:hAnsi="Calibri" w:cs="Calibri"/>
          <w:sz w:val="24"/>
          <w:szCs w:val="24"/>
          <w:lang w:eastAsia="pt-BR"/>
        </w:rPr>
        <w:t>.</w:t>
      </w:r>
    </w:p>
    <w:p w:rsidR="00106ADB" w:rsidRPr="00B71FEA" w:rsidP="00CE0097">
      <w:pPr>
        <w:spacing w:before="12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CC2312">
        <w:rPr>
          <w:rFonts w:cstheme="minorHAnsi"/>
          <w:sz w:val="24"/>
          <w:szCs w:val="24"/>
        </w:rPr>
        <w:t xml:space="preserve">É o </w:t>
      </w:r>
      <w:r w:rsidRPr="00B71FEA">
        <w:rPr>
          <w:rFonts w:cstheme="minorHAnsi"/>
          <w:sz w:val="24"/>
          <w:szCs w:val="24"/>
        </w:rPr>
        <w:t>parecer, a superior consideração.</w:t>
      </w:r>
    </w:p>
    <w:p w:rsidR="00623AD7" w:rsidRPr="00B71FEA" w:rsidP="00FA3D3F">
      <w:pPr>
        <w:spacing w:after="240" w:line="360" w:lineRule="auto"/>
        <w:ind w:firstLine="1701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B71FEA">
        <w:rPr>
          <w:rFonts w:cstheme="minorHAnsi"/>
          <w:sz w:val="24"/>
          <w:szCs w:val="24"/>
        </w:rPr>
        <w:t>Procuradoria</w:t>
      </w:r>
      <w:r w:rsidRPr="00B71FEA" w:rsidR="00CC2312">
        <w:rPr>
          <w:rFonts w:cstheme="minorHAnsi"/>
          <w:sz w:val="24"/>
          <w:szCs w:val="24"/>
        </w:rPr>
        <w:t>,</w:t>
      </w:r>
      <w:r w:rsidRPr="00B71FEA" w:rsidR="0084194B">
        <w:rPr>
          <w:rFonts w:cstheme="minorHAnsi"/>
          <w:sz w:val="24"/>
          <w:szCs w:val="24"/>
        </w:rPr>
        <w:t xml:space="preserve"> 09</w:t>
      </w:r>
      <w:r w:rsidRPr="00B71FEA">
        <w:rPr>
          <w:rFonts w:cstheme="minorHAnsi"/>
          <w:sz w:val="24"/>
          <w:szCs w:val="24"/>
        </w:rPr>
        <w:t xml:space="preserve"> de </w:t>
      </w:r>
      <w:r w:rsidRPr="00B71FEA" w:rsidR="00CC2312">
        <w:rPr>
          <w:rFonts w:cstheme="minorHAnsi"/>
          <w:sz w:val="24"/>
          <w:szCs w:val="24"/>
        </w:rPr>
        <w:t>fevereiro</w:t>
      </w:r>
      <w:r w:rsidRPr="00B71FEA" w:rsidR="00943C53">
        <w:rPr>
          <w:rFonts w:cstheme="minorHAnsi"/>
          <w:sz w:val="24"/>
          <w:szCs w:val="24"/>
        </w:rPr>
        <w:t xml:space="preserve"> </w:t>
      </w:r>
      <w:r w:rsidRPr="00B71FEA">
        <w:rPr>
          <w:rFonts w:cstheme="minorHAnsi"/>
          <w:sz w:val="24"/>
          <w:szCs w:val="24"/>
        </w:rPr>
        <w:t>de 20</w:t>
      </w:r>
      <w:r w:rsidRPr="00B71FEA" w:rsidR="00F66849">
        <w:rPr>
          <w:rFonts w:cstheme="minorHAnsi"/>
          <w:sz w:val="24"/>
          <w:szCs w:val="24"/>
        </w:rPr>
        <w:t>2</w:t>
      </w:r>
      <w:r w:rsidRPr="00B71FEA" w:rsidR="00CC2312">
        <w:rPr>
          <w:rFonts w:cstheme="minorHAnsi"/>
          <w:sz w:val="24"/>
          <w:szCs w:val="24"/>
        </w:rPr>
        <w:t>3</w:t>
      </w:r>
      <w:r w:rsidRPr="00B71FEA">
        <w:rPr>
          <w:rFonts w:cstheme="minorHAnsi"/>
          <w:sz w:val="24"/>
          <w:szCs w:val="24"/>
        </w:rPr>
        <w:t>.</w:t>
      </w:r>
    </w:p>
    <w:p w:rsidR="00A603E0" w:rsidP="00A603E0">
      <w:pPr>
        <w:tabs>
          <w:tab w:val="left" w:pos="2880"/>
        </w:tabs>
        <w:rPr>
          <w:rFonts w:cstheme="minorHAnsi"/>
          <w:b/>
          <w:sz w:val="24"/>
          <w:szCs w:val="24"/>
        </w:rPr>
        <w:sectPr w:rsidSect="00A603E0">
          <w:headerReference w:type="default" r:id="rId7"/>
          <w:footerReference w:type="default" r:id="rId8"/>
          <w:type w:val="continuous"/>
          <w:pgSz w:w="11907" w:h="16840" w:code="9"/>
          <w:pgMar w:top="2552" w:right="1213" w:bottom="1134" w:left="2160" w:header="0" w:footer="0" w:gutter="0"/>
          <w:cols w:space="720"/>
          <w:docGrid w:linePitch="326"/>
        </w:sectPr>
      </w:pPr>
    </w:p>
    <w:p w:rsidR="00A603E0" w:rsidRPr="009B6B9B" w:rsidP="00A603E0">
      <w:pPr>
        <w:spacing w:after="0" w:line="240" w:lineRule="auto"/>
        <w:jc w:val="center"/>
        <w:rPr>
          <w:sz w:val="24"/>
          <w:szCs w:val="24"/>
        </w:rPr>
      </w:pPr>
    </w:p>
    <w:p w:rsidR="00A603E0" w:rsidP="00A603E0">
      <w:pPr>
        <w:tabs>
          <w:tab w:val="left" w:pos="28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603E0" w:rsidRPr="009B6B9B" w:rsidP="00A603E0">
      <w:pPr>
        <w:tabs>
          <w:tab w:val="left" w:pos="28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603E0" w:rsidP="00A603E0">
      <w:pPr>
        <w:tabs>
          <w:tab w:val="left" w:pos="28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F3801" w:rsidP="00A603E0">
      <w:pPr>
        <w:tabs>
          <w:tab w:val="left" w:pos="28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  <w:sectPr w:rsidSect="00A603E0">
          <w:type w:val="continuous"/>
          <w:pgSz w:w="11907" w:h="16840" w:code="9"/>
          <w:pgMar w:top="2552" w:right="1213" w:bottom="1134" w:left="2160" w:header="0" w:footer="0" w:gutter="0"/>
          <w:cols w:num="2" w:space="720"/>
          <w:docGrid w:linePitch="326"/>
        </w:sectPr>
      </w:pPr>
    </w:p>
    <w:p w:rsidR="00A603E0" w:rsidRPr="009B6B9B" w:rsidP="00A603E0">
      <w:pPr>
        <w:tabs>
          <w:tab w:val="left" w:pos="28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6B9B">
        <w:rPr>
          <w:rFonts w:cstheme="minorHAnsi"/>
          <w:b/>
          <w:sz w:val="24"/>
          <w:szCs w:val="24"/>
        </w:rPr>
        <w:t>Rosemeire de Souza Cardoso Barbosa</w:t>
      </w:r>
    </w:p>
    <w:p w:rsidR="00A603E0" w:rsidRPr="009B6B9B" w:rsidP="00A603E0">
      <w:pPr>
        <w:tabs>
          <w:tab w:val="left" w:pos="288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6B9B">
        <w:rPr>
          <w:rFonts w:cstheme="minorHAnsi"/>
          <w:b/>
          <w:sz w:val="24"/>
          <w:szCs w:val="24"/>
        </w:rPr>
        <w:t>Procuradora – OAB/SP 308.298</w:t>
      </w:r>
    </w:p>
    <w:p w:rsidR="00A603E0" w:rsidRPr="008B67E2" w:rsidP="00A603E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6B9B">
        <w:rPr>
          <w:rFonts w:cstheme="minorHAnsi"/>
          <w:sz w:val="24"/>
          <w:szCs w:val="24"/>
        </w:rPr>
        <w:t>Assinatura Eletrônica</w:t>
      </w:r>
    </w:p>
    <w:p w:rsidR="00A603E0" w:rsidP="00053466">
      <w:pPr>
        <w:pStyle w:val="BodyText"/>
        <w:spacing w:after="0" w:line="360" w:lineRule="auto"/>
        <w:rPr>
          <w:rFonts w:asciiTheme="minorHAnsi" w:hAnsiTheme="minorHAnsi" w:cstheme="minorHAnsi"/>
          <w:b/>
          <w:color w:val="FF0000"/>
          <w:szCs w:val="24"/>
        </w:rPr>
        <w:sectPr w:rsidSect="00FF3801">
          <w:type w:val="continuous"/>
          <w:pgSz w:w="11907" w:h="16840" w:code="9"/>
          <w:pgMar w:top="2552" w:right="1213" w:bottom="1134" w:left="2160" w:header="0" w:footer="0" w:gutter="0"/>
          <w:cols w:space="720"/>
          <w:docGrid w:linePitch="326"/>
        </w:sectPr>
      </w:pPr>
    </w:p>
    <w:p w:rsidR="00FF3801" w:rsidP="00053466">
      <w:pPr>
        <w:pStyle w:val="BodyText"/>
        <w:spacing w:after="0" w:line="360" w:lineRule="auto"/>
        <w:rPr>
          <w:rFonts w:asciiTheme="minorHAnsi" w:hAnsiTheme="minorHAnsi" w:cstheme="minorHAnsi"/>
          <w:b/>
          <w:color w:val="FF0000"/>
          <w:szCs w:val="24"/>
        </w:rPr>
        <w:sectPr w:rsidSect="00A603E0">
          <w:type w:val="continuous"/>
          <w:pgSz w:w="11907" w:h="16840" w:code="9"/>
          <w:pgMar w:top="2552" w:right="1213" w:bottom="1134" w:left="2160" w:header="0" w:footer="0" w:gutter="0"/>
          <w:cols w:num="2" w:space="720"/>
          <w:docGrid w:linePitch="326"/>
        </w:sectPr>
      </w:pPr>
    </w:p>
    <w:p w:rsidR="00A603E0" w:rsidRPr="00CC2312" w:rsidP="00053466">
      <w:pPr>
        <w:pStyle w:val="BodyText"/>
        <w:spacing w:after="0" w:line="360" w:lineRule="auto"/>
        <w:rPr>
          <w:rFonts w:asciiTheme="minorHAnsi" w:hAnsiTheme="minorHAnsi" w:cstheme="minorHAnsi"/>
          <w:b/>
          <w:color w:val="FF0000"/>
          <w:szCs w:val="24"/>
        </w:rPr>
      </w:pPr>
    </w:p>
    <w:sectPr w:rsidSect="00A603E0">
      <w:type w:val="continuous"/>
      <w:pgSz w:w="11907" w:h="16840" w:code="9"/>
      <w:pgMar w:top="2552" w:right="1213" w:bottom="1134" w:left="2160" w:header="0" w:footer="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1966382"/>
      <w:docPartObj>
        <w:docPartGallery w:val="Page Numbers (Bottom of Page)"/>
        <w:docPartUnique/>
      </w:docPartObj>
    </w:sdtPr>
    <w:sdtContent>
      <w:sdt>
        <w:sdtPr>
          <w:id w:val="542176546"/>
          <w:docPartObj>
            <w:docPartGallery w:val="Page Numbers (Top of Page)"/>
            <w:docPartUnique/>
          </w:docPartObj>
        </w:sdtPr>
        <w:sdtContent>
          <w:sdt>
            <w:sdtPr>
              <w:id w:val="-172574317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540444153"/>
                  <w:docPartObj>
                    <w:docPartGallery w:val="Page Numbers (Top of Page)"/>
                    <w:docPartUnique/>
                  </w:docPartObj>
                </w:sdtPr>
                <w:sdtContent>
                  <w:p w:rsidR="00814080" w:rsidP="00D33A1B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</w:t>
                    </w:r>
                  </w:p>
                  <w:p w:rsidR="00814080" w:rsidP="00D33A1B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814080" w:rsidP="00D33A1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>: www.camaravalinhos.sp.gov.br</w:t>
                    </w:r>
                  </w:p>
                  <w:p w:rsidR="00814080" w:rsidP="00D33A1B">
                    <w:pPr>
                      <w:pStyle w:val="Footer"/>
                      <w:jc w:val="right"/>
                    </w:pPr>
                    <w:r w:rsidRPr="00F53BEF">
                      <w:rPr>
                        <w:sz w:val="18"/>
                        <w:szCs w:val="18"/>
                      </w:rPr>
                      <w:t xml:space="preserve">Página </w:t>
                    </w:r>
                    <w:r w:rsidRPr="00F53BEF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53BEF">
                      <w:rPr>
                        <w:b/>
                        <w:bCs/>
                        <w:sz w:val="18"/>
                        <w:szCs w:val="18"/>
                      </w:rPr>
                      <w:instrText>PAGE</w:instrText>
                    </w:r>
                    <w:r w:rsidRPr="00F53BEF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FC4FD5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F53BEF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F53BEF">
                      <w:rPr>
                        <w:sz w:val="18"/>
                        <w:szCs w:val="18"/>
                      </w:rPr>
                      <w:t xml:space="preserve"> de </w:t>
                    </w:r>
                    <w:r w:rsidRPr="00F53BEF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F53BEF">
                      <w:rPr>
                        <w:b/>
                        <w:bCs/>
                        <w:sz w:val="18"/>
                        <w:szCs w:val="18"/>
                      </w:rPr>
                      <w:instrText>NUMPAGES</w:instrText>
                    </w:r>
                    <w:r w:rsidRPr="00F53BEF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FC4FD5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8</w:t>
                    </w:r>
                    <w:r w:rsidRPr="00F53BEF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  <w:p w:rsidR="00814080" w:rsidRPr="00CC028B" w:rsidP="00D33A1B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028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814080">
            <w:pPr>
              <w:pStyle w:val="Footer"/>
              <w:jc w:val="right"/>
            </w:pPr>
          </w:p>
        </w:sdtContent>
      </w:sdt>
    </w:sdtContent>
  </w:sdt>
  <w:p w:rsidR="00814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14080">
      <w:pPr>
        <w:spacing w:after="0" w:line="240" w:lineRule="auto"/>
      </w:pPr>
      <w:r>
        <w:separator/>
      </w:r>
    </w:p>
  </w:footnote>
  <w:footnote w:type="continuationSeparator" w:id="1">
    <w:p w:rsidR="00814080">
      <w:pPr>
        <w:spacing w:after="0" w:line="240" w:lineRule="auto"/>
      </w:pPr>
      <w:r>
        <w:continuationSeparator/>
      </w:r>
    </w:p>
  </w:footnote>
  <w:footnote w:id="2">
    <w:p w:rsidR="00814080">
      <w:pPr>
        <w:pStyle w:val="FootnoteText"/>
      </w:pPr>
      <w:r>
        <w:rPr>
          <w:rStyle w:val="FootnoteReference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080">
    <w:pPr>
      <w:pStyle w:val="Header"/>
    </w:pPr>
  </w:p>
  <w:p w:rsidR="00814080">
    <w:pPr>
      <w:pStyle w:val="Header"/>
    </w:pPr>
  </w:p>
  <w:p w:rsidR="00814080">
    <w:pPr>
      <w:pStyle w:val="Header"/>
    </w:pPr>
  </w:p>
  <w:p w:rsidR="00814080">
    <w:pPr>
      <w:pStyle w:val="Header"/>
    </w:pPr>
  </w:p>
  <w:p w:rsidR="00814080" w:rsidP="00D33A1B">
    <w:pPr>
      <w:pStyle w:val="Header"/>
      <w:jc w:val="center"/>
      <w:rPr>
        <w:b/>
        <w:sz w:val="26"/>
        <w:lang w:val="pt-PT"/>
      </w:rPr>
    </w:pPr>
  </w:p>
  <w:p w:rsidR="00814080" w:rsidP="00D33A1B">
    <w:pPr>
      <w:pStyle w:val="Header"/>
      <w:jc w:val="center"/>
      <w:rPr>
        <w:b/>
        <w:sz w:val="26"/>
        <w:lang w:val="pt-PT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080" w:rsidP="00D33A1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28477005" name="Imagem 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446728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746320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14080" w:rsidP="00D33A1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5" name="Imagem 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124019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7293201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814080" w:rsidP="00D33A1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814080" w:rsidP="00D33A1B">
    <w:pPr>
      <w:pStyle w:val="Header"/>
      <w:jc w:val="center"/>
    </w:pPr>
    <w:r>
      <w:rPr>
        <w:lang w:val="pt-PT"/>
      </w:rPr>
      <w:t>ESTADO DE SÃO PAULO</w:t>
    </w:r>
  </w:p>
  <w:p w:rsidR="00814080">
    <w:pPr>
      <w:pStyle w:val="Header"/>
    </w:pPr>
  </w:p>
  <w:p w:rsidR="00814080">
    <w:pPr>
      <w:pStyle w:val="Header"/>
    </w:pPr>
  </w:p>
  <w:p w:rsidR="00814080">
    <w:pPr>
      <w:pStyle w:val="Header"/>
    </w:pPr>
  </w:p>
  <w:p w:rsidR="00814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CE2BE6"/>
    <w:multiLevelType w:val="hybridMultilevel"/>
    <w:tmpl w:val="5C489FD8"/>
    <w:lvl w:ilvl="0">
      <w:start w:val="1"/>
      <w:numFmt w:val="lowerLetter"/>
      <w:lvlText w:val="%1)"/>
      <w:lvlJc w:val="left"/>
      <w:pPr>
        <w:ind w:left="2628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64F3"/>
    <w:rsid w:val="00022214"/>
    <w:rsid w:val="00024644"/>
    <w:rsid w:val="00024E87"/>
    <w:rsid w:val="00037FB6"/>
    <w:rsid w:val="00052E2B"/>
    <w:rsid w:val="00053466"/>
    <w:rsid w:val="00057071"/>
    <w:rsid w:val="00071201"/>
    <w:rsid w:val="000931C9"/>
    <w:rsid w:val="000B6296"/>
    <w:rsid w:val="000C1AE6"/>
    <w:rsid w:val="000C53E5"/>
    <w:rsid w:val="000F5496"/>
    <w:rsid w:val="00106ADB"/>
    <w:rsid w:val="001150B0"/>
    <w:rsid w:val="0015164F"/>
    <w:rsid w:val="00175623"/>
    <w:rsid w:val="001928BF"/>
    <w:rsid w:val="0019746E"/>
    <w:rsid w:val="001A14BF"/>
    <w:rsid w:val="001C2561"/>
    <w:rsid w:val="001C6292"/>
    <w:rsid w:val="001D3E74"/>
    <w:rsid w:val="001F1A5F"/>
    <w:rsid w:val="001F3657"/>
    <w:rsid w:val="001F4DEE"/>
    <w:rsid w:val="0026717A"/>
    <w:rsid w:val="00271FA0"/>
    <w:rsid w:val="00283E6E"/>
    <w:rsid w:val="00290799"/>
    <w:rsid w:val="0029266A"/>
    <w:rsid w:val="00295702"/>
    <w:rsid w:val="002A03B4"/>
    <w:rsid w:val="002B3C83"/>
    <w:rsid w:val="002C4DC0"/>
    <w:rsid w:val="002D20BB"/>
    <w:rsid w:val="002E0C9B"/>
    <w:rsid w:val="002F388B"/>
    <w:rsid w:val="00333906"/>
    <w:rsid w:val="0034205A"/>
    <w:rsid w:val="00363AD3"/>
    <w:rsid w:val="00375591"/>
    <w:rsid w:val="003800F4"/>
    <w:rsid w:val="003B4ED0"/>
    <w:rsid w:val="003B7FBD"/>
    <w:rsid w:val="003C690B"/>
    <w:rsid w:val="003D3DE8"/>
    <w:rsid w:val="003E1658"/>
    <w:rsid w:val="003E371A"/>
    <w:rsid w:val="0040366A"/>
    <w:rsid w:val="00417BC0"/>
    <w:rsid w:val="00425C16"/>
    <w:rsid w:val="00446048"/>
    <w:rsid w:val="00466732"/>
    <w:rsid w:val="004752D0"/>
    <w:rsid w:val="00484808"/>
    <w:rsid w:val="00485F22"/>
    <w:rsid w:val="004D12BA"/>
    <w:rsid w:val="005002D9"/>
    <w:rsid w:val="00526A63"/>
    <w:rsid w:val="00534BB4"/>
    <w:rsid w:val="00540CCC"/>
    <w:rsid w:val="00551E74"/>
    <w:rsid w:val="00571D71"/>
    <w:rsid w:val="0058062A"/>
    <w:rsid w:val="0058400E"/>
    <w:rsid w:val="0059608B"/>
    <w:rsid w:val="005A428A"/>
    <w:rsid w:val="005B491E"/>
    <w:rsid w:val="005C3000"/>
    <w:rsid w:val="005C5FD9"/>
    <w:rsid w:val="005E7CBE"/>
    <w:rsid w:val="00600F21"/>
    <w:rsid w:val="00610902"/>
    <w:rsid w:val="00612190"/>
    <w:rsid w:val="00621910"/>
    <w:rsid w:val="00623AD7"/>
    <w:rsid w:val="00624D13"/>
    <w:rsid w:val="00640F70"/>
    <w:rsid w:val="00644ED3"/>
    <w:rsid w:val="006465C7"/>
    <w:rsid w:val="006504F4"/>
    <w:rsid w:val="0065346A"/>
    <w:rsid w:val="00656E6A"/>
    <w:rsid w:val="006576FE"/>
    <w:rsid w:val="00664714"/>
    <w:rsid w:val="0066538A"/>
    <w:rsid w:val="00685F7B"/>
    <w:rsid w:val="00686AB0"/>
    <w:rsid w:val="006C5E81"/>
    <w:rsid w:val="006E25CE"/>
    <w:rsid w:val="006E4F1C"/>
    <w:rsid w:val="006F0642"/>
    <w:rsid w:val="006F2AAA"/>
    <w:rsid w:val="0070570A"/>
    <w:rsid w:val="007111F6"/>
    <w:rsid w:val="00752544"/>
    <w:rsid w:val="00793D53"/>
    <w:rsid w:val="007B4D08"/>
    <w:rsid w:val="007F13B9"/>
    <w:rsid w:val="00814080"/>
    <w:rsid w:val="00815EB1"/>
    <w:rsid w:val="008249DF"/>
    <w:rsid w:val="0084136F"/>
    <w:rsid w:val="0084194B"/>
    <w:rsid w:val="0084478B"/>
    <w:rsid w:val="00844F2A"/>
    <w:rsid w:val="00856A76"/>
    <w:rsid w:val="008747AD"/>
    <w:rsid w:val="00880E5C"/>
    <w:rsid w:val="00882F28"/>
    <w:rsid w:val="00894426"/>
    <w:rsid w:val="008955AB"/>
    <w:rsid w:val="008A2F04"/>
    <w:rsid w:val="008A3EDE"/>
    <w:rsid w:val="008B67E2"/>
    <w:rsid w:val="008C29F0"/>
    <w:rsid w:val="008D0594"/>
    <w:rsid w:val="008E4D2A"/>
    <w:rsid w:val="00924DE9"/>
    <w:rsid w:val="009326D0"/>
    <w:rsid w:val="00943C53"/>
    <w:rsid w:val="00960BF5"/>
    <w:rsid w:val="0096241A"/>
    <w:rsid w:val="0096668C"/>
    <w:rsid w:val="00975CBE"/>
    <w:rsid w:val="00980793"/>
    <w:rsid w:val="009A42DA"/>
    <w:rsid w:val="009B1BBC"/>
    <w:rsid w:val="009B6B9B"/>
    <w:rsid w:val="009F0F77"/>
    <w:rsid w:val="009F20E3"/>
    <w:rsid w:val="00A21FFC"/>
    <w:rsid w:val="00A455A2"/>
    <w:rsid w:val="00A603E0"/>
    <w:rsid w:val="00A65A67"/>
    <w:rsid w:val="00A7003F"/>
    <w:rsid w:val="00A76162"/>
    <w:rsid w:val="00A77B2B"/>
    <w:rsid w:val="00A87381"/>
    <w:rsid w:val="00A94367"/>
    <w:rsid w:val="00A948F5"/>
    <w:rsid w:val="00AA4E0E"/>
    <w:rsid w:val="00AB02F8"/>
    <w:rsid w:val="00AD6A7E"/>
    <w:rsid w:val="00AF546E"/>
    <w:rsid w:val="00B06343"/>
    <w:rsid w:val="00B10188"/>
    <w:rsid w:val="00B12CBA"/>
    <w:rsid w:val="00B31B2D"/>
    <w:rsid w:val="00B33F55"/>
    <w:rsid w:val="00B42AB8"/>
    <w:rsid w:val="00B45370"/>
    <w:rsid w:val="00B71FEA"/>
    <w:rsid w:val="00B742D2"/>
    <w:rsid w:val="00B762CD"/>
    <w:rsid w:val="00B9249D"/>
    <w:rsid w:val="00BA60E8"/>
    <w:rsid w:val="00BA71BB"/>
    <w:rsid w:val="00BB2737"/>
    <w:rsid w:val="00BB4A3C"/>
    <w:rsid w:val="00BB699B"/>
    <w:rsid w:val="00BC1CA3"/>
    <w:rsid w:val="00BE0431"/>
    <w:rsid w:val="00BF78F6"/>
    <w:rsid w:val="00C11F62"/>
    <w:rsid w:val="00C17C52"/>
    <w:rsid w:val="00C358BF"/>
    <w:rsid w:val="00C436D4"/>
    <w:rsid w:val="00C47C42"/>
    <w:rsid w:val="00C62550"/>
    <w:rsid w:val="00C6350C"/>
    <w:rsid w:val="00C65153"/>
    <w:rsid w:val="00C750DF"/>
    <w:rsid w:val="00C761C8"/>
    <w:rsid w:val="00C772FB"/>
    <w:rsid w:val="00C80CBA"/>
    <w:rsid w:val="00C96362"/>
    <w:rsid w:val="00CC028B"/>
    <w:rsid w:val="00CC2312"/>
    <w:rsid w:val="00CE0097"/>
    <w:rsid w:val="00CE4AC5"/>
    <w:rsid w:val="00CE4D75"/>
    <w:rsid w:val="00D026B6"/>
    <w:rsid w:val="00D174CB"/>
    <w:rsid w:val="00D23678"/>
    <w:rsid w:val="00D320F4"/>
    <w:rsid w:val="00D33A1B"/>
    <w:rsid w:val="00D43148"/>
    <w:rsid w:val="00D56ED0"/>
    <w:rsid w:val="00D7781C"/>
    <w:rsid w:val="00D90502"/>
    <w:rsid w:val="00DA0B32"/>
    <w:rsid w:val="00DB21D0"/>
    <w:rsid w:val="00DB2E7F"/>
    <w:rsid w:val="00DC6FF9"/>
    <w:rsid w:val="00DD239E"/>
    <w:rsid w:val="00DE37B2"/>
    <w:rsid w:val="00E1320D"/>
    <w:rsid w:val="00E4474B"/>
    <w:rsid w:val="00E503EA"/>
    <w:rsid w:val="00E5786A"/>
    <w:rsid w:val="00E660FC"/>
    <w:rsid w:val="00E77219"/>
    <w:rsid w:val="00E77522"/>
    <w:rsid w:val="00E77FBF"/>
    <w:rsid w:val="00E82ED4"/>
    <w:rsid w:val="00E91EA6"/>
    <w:rsid w:val="00E9745E"/>
    <w:rsid w:val="00EA0F60"/>
    <w:rsid w:val="00EC16C1"/>
    <w:rsid w:val="00ED498C"/>
    <w:rsid w:val="00ED5C59"/>
    <w:rsid w:val="00ED620B"/>
    <w:rsid w:val="00F0355F"/>
    <w:rsid w:val="00F33A60"/>
    <w:rsid w:val="00F44AA2"/>
    <w:rsid w:val="00F505B3"/>
    <w:rsid w:val="00F510DB"/>
    <w:rsid w:val="00F53BEF"/>
    <w:rsid w:val="00F57701"/>
    <w:rsid w:val="00F63F5A"/>
    <w:rsid w:val="00F66849"/>
    <w:rsid w:val="00F9773C"/>
    <w:rsid w:val="00FA3D3F"/>
    <w:rsid w:val="00FC4FD5"/>
    <w:rsid w:val="00FD07BA"/>
    <w:rsid w:val="00FD536E"/>
    <w:rsid w:val="00FE4DD9"/>
    <w:rsid w:val="00FF38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C43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0F54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0F54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5496"/>
    <w:rPr>
      <w:vertAlign w:val="superscript"/>
    </w:rPr>
  </w:style>
  <w:style w:type="paragraph" w:customStyle="1" w:styleId="corpodapea">
    <w:name w:val="corpodapea"/>
    <w:basedOn w:val="Normal"/>
    <w:rsid w:val="004D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A2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43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RodapChar"/>
    <w:rsid w:val="00AA4E0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AA4E0E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96668C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DefaultParagraphFont"/>
    <w:link w:val="BodyTextIndent"/>
    <w:semiHidden/>
    <w:rsid w:val="0096668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3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33A1B"/>
    <w:rPr>
      <w:rFonts w:ascii="Tahoma" w:hAnsi="Tahoma" w:cs="Tahoma"/>
      <w:sz w:val="16"/>
      <w:szCs w:val="16"/>
    </w:rPr>
  </w:style>
  <w:style w:type="paragraph" w:customStyle="1" w:styleId="alineas">
    <w:name w:val="alineas"/>
    <w:basedOn w:val="Normal"/>
    <w:rsid w:val="0081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81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planalto.gov.br/ccivil_03/constituicao/Emendas/Emc/emc85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9F20-F418-4616-9545-C4B1AF2B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2034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9</cp:revision>
  <cp:lastPrinted>2021-08-09T18:11:00Z</cp:lastPrinted>
  <dcterms:created xsi:type="dcterms:W3CDTF">2023-02-07T19:31:00Z</dcterms:created>
  <dcterms:modified xsi:type="dcterms:W3CDTF">2023-02-09T18:54:00Z</dcterms:modified>
</cp:coreProperties>
</file>