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564E" w:rsidRPr="00B32E1D" w:rsidP="000A564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B32E1D">
        <w:rPr>
          <w:rFonts w:asciiTheme="minorHAnsi" w:hAnsiTheme="minorHAnsi" w:cstheme="minorHAnsi"/>
          <w:b/>
          <w:color w:val="auto"/>
        </w:rPr>
        <w:t xml:space="preserve">Parecer </w:t>
      </w:r>
      <w:r w:rsidRPr="00B32E1D">
        <w:rPr>
          <w:rFonts w:asciiTheme="minorHAnsi" w:hAnsiTheme="minorHAnsi" w:cstheme="minorHAnsi"/>
          <w:b/>
          <w:color w:val="auto"/>
        </w:rPr>
        <w:t>J</w:t>
      </w:r>
      <w:r w:rsidRPr="00B32E1D">
        <w:rPr>
          <w:rFonts w:asciiTheme="minorHAnsi" w:hAnsiTheme="minorHAnsi" w:cstheme="minorHAnsi"/>
          <w:b/>
          <w:color w:val="auto"/>
        </w:rPr>
        <w:t>urídico</w:t>
      </w:r>
      <w:r w:rsidRPr="00B32E1D">
        <w:rPr>
          <w:rFonts w:asciiTheme="minorHAnsi" w:hAnsiTheme="minorHAnsi" w:cstheme="minorHAnsi"/>
          <w:b/>
          <w:color w:val="auto"/>
        </w:rPr>
        <w:t xml:space="preserve"> nº </w:t>
      </w:r>
      <w:r w:rsidRPr="00B32E1D" w:rsidR="00B32E1D">
        <w:rPr>
          <w:rFonts w:asciiTheme="minorHAnsi" w:hAnsiTheme="minorHAnsi" w:cstheme="minorHAnsi"/>
          <w:b/>
          <w:color w:val="auto"/>
        </w:rPr>
        <w:t>029</w:t>
      </w:r>
      <w:r w:rsidRPr="00B32E1D">
        <w:rPr>
          <w:rFonts w:asciiTheme="minorHAnsi" w:hAnsiTheme="minorHAnsi" w:cstheme="minorHAnsi"/>
          <w:b/>
          <w:color w:val="auto"/>
        </w:rPr>
        <w:t>/20</w:t>
      </w:r>
      <w:r w:rsidRPr="00B32E1D" w:rsidR="00BA28BE">
        <w:rPr>
          <w:rFonts w:asciiTheme="minorHAnsi" w:hAnsiTheme="minorHAnsi" w:cstheme="minorHAnsi"/>
          <w:b/>
          <w:color w:val="auto"/>
        </w:rPr>
        <w:t>23.</w:t>
      </w:r>
    </w:p>
    <w:p w:rsidR="00DF773E" w:rsidP="00BC0C7F">
      <w:pPr>
        <w:shd w:val="clear" w:color="auto" w:fill="FFFFFF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Pr="006615B0">
        <w:rPr>
          <w:rFonts w:asciiTheme="minorHAnsi" w:hAnsiTheme="minorHAnsi" w:cstheme="minorHAnsi"/>
          <w:b/>
          <w:bCs/>
          <w:szCs w:val="24"/>
        </w:rPr>
        <w:t>Projeto de Lei nº</w:t>
      </w:r>
      <w:r w:rsidRPr="006615B0" w:rsidR="007805C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615B0">
        <w:rPr>
          <w:rFonts w:asciiTheme="minorHAnsi" w:hAnsiTheme="minorHAnsi" w:cstheme="minorHAnsi"/>
          <w:b/>
          <w:bCs/>
          <w:szCs w:val="24"/>
        </w:rPr>
        <w:t>08</w:t>
      </w:r>
      <w:r w:rsidRPr="006615B0" w:rsidR="000A564E">
        <w:rPr>
          <w:rFonts w:asciiTheme="minorHAnsi" w:hAnsiTheme="minorHAnsi" w:cstheme="minorHAnsi"/>
          <w:b/>
          <w:bCs/>
          <w:szCs w:val="24"/>
        </w:rPr>
        <w:t>/20</w:t>
      </w:r>
      <w:r w:rsidRPr="006615B0">
        <w:rPr>
          <w:rFonts w:asciiTheme="minorHAnsi" w:hAnsiTheme="minorHAnsi" w:cstheme="minorHAnsi"/>
          <w:b/>
          <w:bCs/>
          <w:szCs w:val="24"/>
        </w:rPr>
        <w:t>23</w:t>
      </w:r>
      <w:r w:rsidRPr="00FB3ABB" w:rsidR="004C24C7">
        <w:rPr>
          <w:rFonts w:asciiTheme="minorHAnsi" w:hAnsiTheme="minorHAnsi" w:cstheme="minorHAnsi"/>
          <w:bCs/>
          <w:szCs w:val="24"/>
        </w:rPr>
        <w:t xml:space="preserve"> –</w:t>
      </w:r>
      <w:r w:rsidRPr="00FB3ABB" w:rsidR="00347641">
        <w:rPr>
          <w:rFonts w:asciiTheme="minorHAnsi" w:hAnsiTheme="minorHAnsi" w:cstheme="minorHAnsi"/>
          <w:bCs/>
          <w:szCs w:val="24"/>
        </w:rPr>
        <w:t xml:space="preserve"> </w:t>
      </w:r>
      <w:r w:rsidRPr="00FB3ABB">
        <w:rPr>
          <w:rFonts w:asciiTheme="minorHAnsi" w:hAnsiTheme="minorHAnsi" w:cstheme="minorHAnsi"/>
          <w:bCs/>
          <w:szCs w:val="24"/>
        </w:rPr>
        <w:t>“</w:t>
      </w:r>
      <w:r w:rsidRPr="00DF773E">
        <w:rPr>
          <w:rFonts w:asciiTheme="minorHAnsi" w:hAnsiTheme="minorHAnsi" w:cstheme="minorHAnsi"/>
          <w:bCs/>
          <w:i/>
          <w:szCs w:val="24"/>
        </w:rPr>
        <w:t xml:space="preserve">Torna obrigatória </w:t>
      </w:r>
      <w:r w:rsidRPr="00DF773E">
        <w:rPr>
          <w:rFonts w:asciiTheme="minorHAnsi" w:hAnsiTheme="minorHAnsi" w:cstheme="minorHAnsi"/>
          <w:bCs/>
          <w:i/>
          <w:szCs w:val="24"/>
        </w:rPr>
        <w:t>a</w:t>
      </w:r>
      <w:r w:rsidRPr="00DF773E">
        <w:rPr>
          <w:rFonts w:asciiTheme="minorHAnsi" w:hAnsiTheme="minorHAnsi" w:cstheme="minorHAnsi"/>
          <w:bCs/>
          <w:i/>
          <w:szCs w:val="24"/>
        </w:rPr>
        <w:t xml:space="preserve"> publicação do currículo profissional dos ocupantes de cargos comissionados, na forma que especifica</w:t>
      </w:r>
      <w:r w:rsidRPr="00FB3ABB">
        <w:rPr>
          <w:rFonts w:asciiTheme="minorHAnsi" w:hAnsiTheme="minorHAnsi" w:cstheme="minorHAnsi"/>
          <w:bCs/>
          <w:szCs w:val="24"/>
        </w:rPr>
        <w:t>”.</w:t>
      </w:r>
      <w:r w:rsidRPr="00FB3ABB" w:rsidR="00347641">
        <w:rPr>
          <w:rFonts w:asciiTheme="minorHAnsi" w:hAnsiTheme="minorHAnsi" w:cstheme="minorHAnsi"/>
          <w:bCs/>
          <w:szCs w:val="24"/>
        </w:rPr>
        <w:t xml:space="preserve"> </w:t>
      </w:r>
    </w:p>
    <w:p w:rsidR="00FE51A5" w:rsidRPr="008C1FEC" w:rsidP="00BC0C7F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Autoria: </w:t>
      </w:r>
      <w:r w:rsidRPr="00F0772F" w:rsidR="0084738E">
        <w:rPr>
          <w:rFonts w:asciiTheme="minorHAnsi" w:hAnsiTheme="minorHAnsi" w:cstheme="minorHAnsi"/>
          <w:bCs/>
          <w:szCs w:val="24"/>
        </w:rPr>
        <w:t>Vereador</w:t>
      </w:r>
      <w:r w:rsidRPr="00F0772F" w:rsidR="00BC0C7F">
        <w:rPr>
          <w:rFonts w:asciiTheme="minorHAnsi" w:hAnsiTheme="minorHAnsi" w:cstheme="minorHAnsi"/>
          <w:bCs/>
          <w:szCs w:val="24"/>
        </w:rPr>
        <w:t xml:space="preserve"> </w:t>
      </w:r>
      <w:r w:rsidRPr="00F0772F">
        <w:rPr>
          <w:rFonts w:asciiTheme="minorHAnsi" w:hAnsiTheme="minorHAnsi" w:cstheme="minorHAnsi"/>
          <w:bCs/>
          <w:szCs w:val="24"/>
        </w:rPr>
        <w:t>Mayr.</w:t>
      </w:r>
    </w:p>
    <w:p w:rsidR="00BC0C7F" w:rsidRPr="00F0772F" w:rsidP="00BC0C7F">
      <w:pPr>
        <w:shd w:val="clear" w:color="auto" w:fill="FFFFFF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Referência: </w:t>
      </w:r>
      <w:r w:rsidRPr="00F0772F">
        <w:rPr>
          <w:rFonts w:asciiTheme="minorHAnsi" w:hAnsiTheme="minorHAnsi" w:cstheme="minorHAnsi"/>
          <w:bCs/>
          <w:szCs w:val="24"/>
        </w:rPr>
        <w:t xml:space="preserve">Processo Legislativo nº </w:t>
      </w:r>
      <w:r w:rsidRPr="00F0772F" w:rsidR="00F0772F">
        <w:rPr>
          <w:rFonts w:asciiTheme="minorHAnsi" w:hAnsiTheme="minorHAnsi" w:cstheme="minorHAnsi"/>
          <w:bCs/>
          <w:szCs w:val="24"/>
        </w:rPr>
        <w:t>492/2023.</w:t>
      </w:r>
    </w:p>
    <w:p w:rsidR="00BC0C7F" w:rsidRPr="008C1FEC" w:rsidP="00BC0C7F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</w:p>
    <w:p w:rsidR="00347641" w:rsidRPr="008C1FEC" w:rsidP="00BC0C7F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</w:p>
    <w:p w:rsidR="000A564E" w:rsidRPr="008C1FEC" w:rsidP="00E4285B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  <w:r w:rsidRPr="008C1FEC">
        <w:rPr>
          <w:rFonts w:eastAsia="Times New Roman" w:asciiTheme="minorHAnsi" w:hAnsiTheme="minorHAnsi" w:cstheme="minorHAnsi"/>
          <w:b/>
          <w:bCs/>
          <w:color w:val="auto"/>
        </w:rPr>
        <w:t xml:space="preserve">À </w:t>
      </w:r>
      <w:r w:rsidRPr="008C1FEC" w:rsidR="00D40CAB">
        <w:rPr>
          <w:rFonts w:eastAsia="Times New Roman" w:asciiTheme="minorHAnsi" w:hAnsiTheme="minorHAnsi" w:cstheme="minorHAnsi"/>
          <w:b/>
          <w:bCs/>
          <w:color w:val="auto"/>
        </w:rPr>
        <w:t>Comissão de Justiça e Redação</w:t>
      </w:r>
      <w:r w:rsidR="00E7569A">
        <w:rPr>
          <w:rFonts w:eastAsia="Times New Roman" w:asciiTheme="minorHAnsi" w:hAnsiTheme="minorHAnsi" w:cstheme="minorHAnsi"/>
          <w:b/>
          <w:bCs/>
          <w:color w:val="auto"/>
        </w:rPr>
        <w:t>,</w:t>
      </w:r>
    </w:p>
    <w:p w:rsidR="00E4285B" w:rsidRPr="008C1FEC" w:rsidP="00E4285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C1FEC">
        <w:rPr>
          <w:rFonts w:asciiTheme="minorHAnsi" w:hAnsiTheme="minorHAnsi" w:cstheme="minorHAnsi"/>
          <w:b/>
          <w:color w:val="auto"/>
        </w:rPr>
        <w:t>Exmo.</w:t>
      </w:r>
      <w:r w:rsidR="007805CD">
        <w:rPr>
          <w:rFonts w:asciiTheme="minorHAnsi" w:hAnsiTheme="minorHAnsi" w:cstheme="minorHAnsi"/>
          <w:b/>
          <w:color w:val="auto"/>
        </w:rPr>
        <w:t xml:space="preserve"> </w:t>
      </w:r>
      <w:r w:rsidR="007805CD">
        <w:rPr>
          <w:rFonts w:asciiTheme="minorHAnsi" w:hAnsiTheme="minorHAnsi" w:cstheme="minorHAnsi"/>
          <w:b/>
          <w:color w:val="auto"/>
        </w:rPr>
        <w:t>Sr.</w:t>
      </w:r>
      <w:r w:rsidRPr="008C1FEC">
        <w:rPr>
          <w:rFonts w:asciiTheme="minorHAnsi" w:hAnsiTheme="minorHAnsi" w:cstheme="minorHAnsi"/>
          <w:b/>
          <w:color w:val="auto"/>
        </w:rPr>
        <w:t xml:space="preserve"> </w:t>
      </w:r>
      <w:r w:rsidR="002001CC">
        <w:rPr>
          <w:rFonts w:asciiTheme="minorHAnsi" w:hAnsiTheme="minorHAnsi" w:cstheme="minorHAnsi"/>
          <w:b/>
          <w:color w:val="auto"/>
        </w:rPr>
        <w:t xml:space="preserve">Presidente </w:t>
      </w:r>
      <w:r w:rsidRPr="008C1FEC">
        <w:rPr>
          <w:rFonts w:asciiTheme="minorHAnsi" w:hAnsiTheme="minorHAnsi" w:cstheme="minorHAnsi"/>
          <w:b/>
          <w:color w:val="auto"/>
        </w:rPr>
        <w:t xml:space="preserve">Vereador </w:t>
      </w:r>
      <w:r w:rsidR="00E7569A">
        <w:rPr>
          <w:rFonts w:asciiTheme="minorHAnsi" w:hAnsiTheme="minorHAnsi" w:cstheme="minorHAnsi"/>
          <w:b/>
          <w:color w:val="auto"/>
        </w:rPr>
        <w:t>Gabriel Bueno.</w:t>
      </w:r>
    </w:p>
    <w:p w:rsidR="00383ADA" w:rsidRPr="008C1FEC" w:rsidP="00E4285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347641" w:rsidRPr="008C1FEC" w:rsidP="000A564E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347641" w:rsidRPr="008B7214" w:rsidP="00347641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  <w:shd w:val="clear" w:color="auto" w:fill="FFFFFF"/>
        </w:rPr>
      </w:pPr>
      <w:r w:rsidRPr="008B7214">
        <w:rPr>
          <w:rFonts w:asciiTheme="minorHAnsi" w:hAnsiTheme="minorHAnsi" w:cstheme="minorHAnsi"/>
          <w:color w:val="auto"/>
        </w:rPr>
        <w:t>Trata-se de parecer jurídico relativo ao projeto em epígrafe</w:t>
      </w:r>
      <w:r w:rsidRPr="008B7214" w:rsidR="002C5EAF">
        <w:rPr>
          <w:rFonts w:asciiTheme="minorHAnsi" w:hAnsiTheme="minorHAnsi" w:cstheme="minorHAnsi"/>
          <w:color w:val="auto"/>
        </w:rPr>
        <w:t xml:space="preserve"> que</w:t>
      </w:r>
      <w:r w:rsidRPr="008B7214" w:rsidR="00FE51A5">
        <w:rPr>
          <w:rFonts w:asciiTheme="minorHAnsi" w:hAnsiTheme="minorHAnsi" w:cstheme="minorHAnsi"/>
          <w:color w:val="auto"/>
        </w:rPr>
        <w:t xml:space="preserve"> </w:t>
      </w:r>
      <w:r w:rsidRPr="008B7214">
        <w:rPr>
          <w:rFonts w:asciiTheme="minorHAnsi" w:hAnsiTheme="minorHAnsi" w:cstheme="minorHAnsi"/>
          <w:i/>
          <w:color w:val="auto"/>
        </w:rPr>
        <w:t>“</w:t>
      </w:r>
      <w:r w:rsidRPr="008B7214" w:rsidR="008B7214">
        <w:rPr>
          <w:rFonts w:asciiTheme="minorHAnsi" w:hAnsiTheme="minorHAnsi" w:cstheme="minorHAnsi"/>
          <w:bCs/>
          <w:i/>
          <w:color w:val="auto"/>
          <w:shd w:val="clear" w:color="auto" w:fill="FFFFFF"/>
        </w:rPr>
        <w:t xml:space="preserve">Torna obrigatória </w:t>
      </w:r>
      <w:r w:rsidRPr="008B7214" w:rsidR="008B7214">
        <w:rPr>
          <w:rFonts w:asciiTheme="minorHAnsi" w:hAnsiTheme="minorHAnsi" w:cstheme="minorHAnsi"/>
          <w:bCs/>
          <w:i/>
          <w:color w:val="auto"/>
          <w:shd w:val="clear" w:color="auto" w:fill="FFFFFF"/>
        </w:rPr>
        <w:t>a</w:t>
      </w:r>
      <w:r w:rsidRPr="008B7214" w:rsidR="008B7214">
        <w:rPr>
          <w:rFonts w:asciiTheme="minorHAnsi" w:hAnsiTheme="minorHAnsi" w:cstheme="minorHAnsi"/>
          <w:bCs/>
          <w:i/>
          <w:color w:val="auto"/>
          <w:shd w:val="clear" w:color="auto" w:fill="FFFFFF"/>
        </w:rPr>
        <w:t xml:space="preserve"> publicação do currículo profissional dos ocupantes de cargos comissionados, na forma que especifica</w:t>
      </w:r>
      <w:r w:rsidRPr="008B7214">
        <w:rPr>
          <w:rFonts w:asciiTheme="minorHAnsi" w:hAnsiTheme="minorHAnsi" w:cstheme="minorHAnsi"/>
          <w:i/>
          <w:color w:val="auto"/>
          <w:shd w:val="clear" w:color="auto" w:fill="FFFFFF"/>
        </w:rPr>
        <w:t>”.</w:t>
      </w:r>
    </w:p>
    <w:p w:rsidR="00961EB7" w:rsidRPr="00A45F4F" w:rsidP="002E0C51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</w:rPr>
      </w:pPr>
      <w:r w:rsidRPr="00A45F4F">
        <w:rPr>
          <w:rFonts w:asciiTheme="minorHAnsi" w:hAnsiTheme="minorHAnsi" w:cstheme="minorHAnsi"/>
          <w:i/>
          <w:szCs w:val="24"/>
        </w:rPr>
        <w:t>Ab initio</w:t>
      </w:r>
      <w:r w:rsidRPr="00A45F4F">
        <w:rPr>
          <w:rFonts w:asciiTheme="minorHAnsi" w:hAnsiTheme="minorHAnsi" w:cstheme="minorHAnsi"/>
          <w:szCs w:val="24"/>
        </w:rPr>
        <w:t xml:space="preserve">, cumpre destacar a </w:t>
      </w:r>
      <w:r w:rsidRPr="00A45F4F" w:rsidR="003609CB">
        <w:rPr>
          <w:rFonts w:asciiTheme="minorHAnsi" w:hAnsiTheme="minorHAnsi" w:cstheme="minorHAnsi"/>
          <w:szCs w:val="24"/>
        </w:rPr>
        <w:t>atribuição</w:t>
      </w:r>
      <w:r w:rsidRPr="00A45F4F">
        <w:rPr>
          <w:rFonts w:asciiTheme="minorHAnsi" w:hAnsiTheme="minorHAnsi" w:cstheme="minorHAnsi"/>
          <w:szCs w:val="24"/>
        </w:rPr>
        <w:t xml:space="preserve"> regimental </w:t>
      </w:r>
      <w:r w:rsidRPr="00A45F4F" w:rsidR="003609CB">
        <w:rPr>
          <w:rFonts w:asciiTheme="minorHAnsi" w:hAnsiTheme="minorHAnsi" w:cstheme="minorHAnsi"/>
          <w:szCs w:val="24"/>
        </w:rPr>
        <w:t xml:space="preserve">à </w:t>
      </w:r>
      <w:r w:rsidRPr="00A45F4F">
        <w:rPr>
          <w:rFonts w:asciiTheme="minorHAnsi" w:hAnsiTheme="minorHAnsi" w:cstheme="minorHAnsi"/>
          <w:szCs w:val="24"/>
        </w:rPr>
        <w:t>Comissão de Justiça e Red</w:t>
      </w:r>
      <w:r w:rsidRPr="00A45F4F" w:rsidR="003609CB">
        <w:rPr>
          <w:rFonts w:asciiTheme="minorHAnsi" w:hAnsiTheme="minorHAnsi" w:cstheme="minorHAnsi"/>
          <w:szCs w:val="24"/>
        </w:rPr>
        <w:t>ação estabelecida no artigo 38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A45F4F" w:rsidR="003609CB">
        <w:rPr>
          <w:rFonts w:asciiTheme="minorHAnsi" w:hAnsiTheme="minorHAnsi" w:cstheme="minorHAnsi"/>
          <w:szCs w:val="24"/>
        </w:rPr>
        <w:t>.</w:t>
      </w:r>
      <w:r w:rsidRPr="00A45F4F" w:rsidR="00433B18">
        <w:rPr>
          <w:rFonts w:asciiTheme="minorHAnsi" w:hAnsiTheme="minorHAnsi" w:cstheme="minorHAnsi"/>
          <w:szCs w:val="24"/>
        </w:rPr>
        <w:t xml:space="preserve"> </w:t>
      </w:r>
      <w:r w:rsidRPr="00A45F4F" w:rsidR="00A45F4F">
        <w:rPr>
          <w:rFonts w:asciiTheme="minorHAnsi" w:hAnsiTheme="minorHAnsi" w:cstheme="minorHAnsi"/>
          <w:szCs w:val="24"/>
        </w:rPr>
        <w:t xml:space="preserve"> Re</w:t>
      </w:r>
      <w:r w:rsidRPr="00A45F4F">
        <w:rPr>
          <w:rFonts w:asciiTheme="minorHAnsi" w:hAnsiTheme="minorHAnsi" w:cstheme="minorHAnsi"/>
          <w:szCs w:val="24"/>
        </w:rPr>
        <w:t xml:space="preserve">ssalta-se que a opinião jurídica </w:t>
      </w:r>
      <w:r w:rsidRPr="00A45F4F" w:rsidR="00C50FBC">
        <w:rPr>
          <w:rFonts w:asciiTheme="minorHAnsi" w:hAnsiTheme="minorHAnsi" w:cstheme="minorHAnsi"/>
          <w:szCs w:val="24"/>
        </w:rPr>
        <w:t>exarada</w:t>
      </w:r>
      <w:r w:rsidRPr="00A45F4F">
        <w:rPr>
          <w:rFonts w:asciiTheme="minorHAnsi" w:hAnsiTheme="minorHAnsi" w:cstheme="minorHAnsi"/>
          <w:szCs w:val="24"/>
        </w:rPr>
        <w:t xml:space="preserve"> </w:t>
      </w:r>
      <w:r w:rsidRPr="00A45F4F">
        <w:rPr>
          <w:rFonts w:asciiTheme="minorHAnsi" w:hAnsiTheme="minorHAnsi" w:cstheme="minorHAnsi"/>
          <w:b/>
          <w:szCs w:val="24"/>
        </w:rPr>
        <w:t xml:space="preserve">não </w:t>
      </w:r>
      <w:r w:rsidRPr="00A45F4F" w:rsidR="00C50FBC">
        <w:rPr>
          <w:rFonts w:asciiTheme="minorHAnsi" w:hAnsiTheme="minorHAnsi" w:cstheme="minorHAnsi"/>
          <w:b/>
          <w:szCs w:val="24"/>
        </w:rPr>
        <w:t>possui</w:t>
      </w:r>
      <w:r w:rsidRPr="00A45F4F">
        <w:rPr>
          <w:rFonts w:asciiTheme="minorHAnsi" w:hAnsiTheme="minorHAnsi" w:cstheme="minorHAnsi"/>
          <w:b/>
          <w:szCs w:val="24"/>
        </w:rPr>
        <w:t xml:space="preserve"> força vinculante</w:t>
      </w:r>
      <w:r w:rsidRPr="00A45F4F">
        <w:rPr>
          <w:rFonts w:asciiTheme="minorHAnsi" w:hAnsiTheme="minorHAnsi" w:cstheme="minorHAnsi"/>
          <w:szCs w:val="24"/>
        </w:rPr>
        <w:t>, sendo meramente opinativo</w:t>
      </w:r>
      <w:r w:rsidRPr="00A45F4F" w:rsidR="00A842D6">
        <w:rPr>
          <w:rFonts w:asciiTheme="minorHAnsi" w:hAnsiTheme="minorHAnsi" w:cstheme="minorHAnsi"/>
          <w:szCs w:val="24"/>
        </w:rPr>
        <w:t>,</w:t>
      </w:r>
      <w:r w:rsidRPr="00A45F4F">
        <w:rPr>
          <w:rFonts w:asciiTheme="minorHAnsi" w:hAnsiTheme="minorHAnsi" w:cstheme="minorHAnsi"/>
          <w:szCs w:val="24"/>
        </w:rPr>
        <w:t xml:space="preserve"> não fundamentando decisão proferida pelas Comissões.</w:t>
      </w:r>
      <w:r w:rsidRPr="00A45F4F" w:rsidR="002E0C51">
        <w:rPr>
          <w:rFonts w:asciiTheme="minorHAnsi" w:hAnsiTheme="minorHAnsi" w:cstheme="minorHAnsi"/>
          <w:szCs w:val="24"/>
        </w:rPr>
        <w:t xml:space="preserve"> </w:t>
      </w:r>
      <w:r w:rsidRPr="00A45F4F">
        <w:rPr>
          <w:rFonts w:asciiTheme="minorHAnsi" w:hAnsiTheme="minorHAnsi" w:cstheme="minorHAnsi"/>
        </w:rPr>
        <w:t xml:space="preserve">Nesse sentido é o entendimento do </w:t>
      </w:r>
      <w:r w:rsidRPr="00A45F4F" w:rsidR="00A45F4F">
        <w:rPr>
          <w:rFonts w:asciiTheme="minorHAnsi" w:hAnsiTheme="minorHAnsi" w:cstheme="minorHAnsi"/>
        </w:rPr>
        <w:t xml:space="preserve">C. </w:t>
      </w:r>
      <w:r w:rsidRPr="00A45F4F">
        <w:rPr>
          <w:rFonts w:asciiTheme="minorHAnsi" w:hAnsiTheme="minorHAnsi" w:cstheme="minorHAnsi"/>
        </w:rPr>
        <w:t xml:space="preserve">Supremo Tribunal Federal: </w:t>
      </w:r>
    </w:p>
    <w:p w:rsidR="00961EB7" w:rsidRPr="002001CC" w:rsidP="007A481F">
      <w:pPr>
        <w:pStyle w:val="Default"/>
        <w:spacing w:after="36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1"/>
          <w:szCs w:val="21"/>
        </w:rPr>
      </w:pPr>
      <w:r w:rsidRPr="002001CC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001CC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2001CC" w:rsidR="002E0C51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2001CC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2001CC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084468" w:rsidRPr="00FF4747" w:rsidP="0008446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FF4747">
        <w:rPr>
          <w:rFonts w:asciiTheme="minorHAnsi" w:hAnsiTheme="minorHAnsi" w:cstheme="minorHAnsi"/>
          <w:color w:val="auto"/>
        </w:rPr>
        <w:t>Considerando-se o</w:t>
      </w:r>
      <w:r w:rsidRPr="00FF4747" w:rsidR="00BC67F2">
        <w:rPr>
          <w:rFonts w:asciiTheme="minorHAnsi" w:hAnsiTheme="minorHAnsi" w:cstheme="minorHAnsi"/>
          <w:color w:val="auto"/>
        </w:rPr>
        <w:t>s</w:t>
      </w:r>
      <w:r w:rsidRPr="00FF4747">
        <w:rPr>
          <w:rFonts w:asciiTheme="minorHAnsi" w:hAnsiTheme="minorHAnsi" w:cstheme="minorHAnsi"/>
          <w:color w:val="auto"/>
        </w:rPr>
        <w:t xml:space="preserve"> aspecto</w:t>
      </w:r>
      <w:r w:rsidRPr="00FF4747" w:rsidR="00BC67F2">
        <w:rPr>
          <w:rFonts w:asciiTheme="minorHAnsi" w:hAnsiTheme="minorHAnsi" w:cstheme="minorHAnsi"/>
          <w:color w:val="auto"/>
        </w:rPr>
        <w:t>s jurídicos</w:t>
      </w:r>
      <w:r w:rsidRPr="00FF4747" w:rsidR="00FF4747">
        <w:rPr>
          <w:rFonts w:asciiTheme="minorHAnsi" w:hAnsiTheme="minorHAnsi" w:cstheme="minorHAnsi"/>
          <w:color w:val="auto"/>
        </w:rPr>
        <w:t xml:space="preserve"> passa-se à</w:t>
      </w:r>
      <w:r w:rsidRPr="00FF4747">
        <w:rPr>
          <w:rFonts w:asciiTheme="minorHAnsi" w:hAnsiTheme="minorHAnsi" w:cstheme="minorHAnsi"/>
          <w:color w:val="auto"/>
        </w:rPr>
        <w:t xml:space="preserve"> </w:t>
      </w:r>
      <w:r w:rsidRPr="00FF4747">
        <w:rPr>
          <w:rFonts w:asciiTheme="minorHAnsi" w:hAnsiTheme="minorHAnsi" w:cstheme="minorHAnsi"/>
          <w:b/>
          <w:color w:val="auto"/>
        </w:rPr>
        <w:t>análise técnica</w:t>
      </w:r>
      <w:r w:rsidRPr="00FF4747">
        <w:rPr>
          <w:rFonts w:asciiTheme="minorHAnsi" w:hAnsiTheme="minorHAnsi" w:cstheme="minorHAnsi"/>
          <w:color w:val="auto"/>
        </w:rPr>
        <w:t xml:space="preserve"> do projeto. </w:t>
      </w:r>
    </w:p>
    <w:p w:rsidR="00BC0C7F" w:rsidRPr="00C828C6" w:rsidP="00BC0C7F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C828C6">
        <w:rPr>
          <w:rFonts w:asciiTheme="minorHAnsi" w:hAnsiTheme="minorHAnsi" w:cstheme="minorHAnsi"/>
        </w:rPr>
        <w:t>No que tange a competência</w:t>
      </w:r>
      <w:r w:rsidRPr="00C828C6" w:rsidR="00FF4747">
        <w:rPr>
          <w:rFonts w:asciiTheme="minorHAnsi" w:hAnsiTheme="minorHAnsi" w:cstheme="minorHAnsi"/>
        </w:rPr>
        <w:t>,</w:t>
      </w:r>
      <w:r w:rsidRPr="00C828C6">
        <w:rPr>
          <w:rFonts w:asciiTheme="minorHAnsi" w:hAnsiTheme="minorHAnsi" w:cstheme="minorHAnsi"/>
        </w:rPr>
        <w:t xml:space="preserve"> a matéria abarcada pela propositura cuida de elevado, basilar e radical assunto na senda da organização político-administrativa municipal: a </w:t>
      </w:r>
      <w:r w:rsidR="002C3004">
        <w:rPr>
          <w:rFonts w:asciiTheme="minorHAnsi" w:hAnsiTheme="minorHAnsi" w:cstheme="minorHAnsi"/>
          <w:b/>
        </w:rPr>
        <w:t xml:space="preserve">publicidade </w:t>
      </w:r>
      <w:r w:rsidRPr="00C828C6">
        <w:rPr>
          <w:rFonts w:asciiTheme="minorHAnsi" w:hAnsiTheme="minorHAnsi" w:cstheme="minorHAnsi"/>
          <w:b/>
        </w:rPr>
        <w:t>administrativa</w:t>
      </w:r>
      <w:r w:rsidRPr="00C828C6">
        <w:rPr>
          <w:rFonts w:asciiTheme="minorHAnsi" w:hAnsiTheme="minorHAnsi" w:cstheme="minorHAnsi"/>
        </w:rPr>
        <w:t xml:space="preserve"> que se articula </w:t>
      </w:r>
      <w:r w:rsidR="002C3004">
        <w:rPr>
          <w:rFonts w:asciiTheme="minorHAnsi" w:hAnsiTheme="minorHAnsi" w:cstheme="minorHAnsi"/>
        </w:rPr>
        <w:t xml:space="preserve">por um de seus subprincípios </w:t>
      </w:r>
      <w:r w:rsidRPr="002C3004" w:rsidR="002C3004">
        <w:rPr>
          <w:rFonts w:asciiTheme="minorHAnsi" w:hAnsiTheme="minorHAnsi" w:cstheme="minorHAnsi"/>
          <w:b/>
        </w:rPr>
        <w:t>(</w:t>
      </w:r>
      <w:r w:rsidR="002C3004">
        <w:rPr>
          <w:rFonts w:asciiTheme="minorHAnsi" w:hAnsiTheme="minorHAnsi" w:cstheme="minorHAnsi"/>
          <w:b/>
        </w:rPr>
        <w:t>transparência</w:t>
      </w:r>
      <w:r w:rsidRPr="00C828C6">
        <w:rPr>
          <w:rFonts w:asciiTheme="minorHAnsi" w:hAnsiTheme="minorHAnsi" w:cstheme="minorHAnsi"/>
          <w:b/>
        </w:rPr>
        <w:t>),</w:t>
      </w:r>
      <w:r w:rsidRPr="00C828C6">
        <w:rPr>
          <w:rFonts w:asciiTheme="minorHAnsi" w:hAnsiTheme="minorHAnsi" w:cstheme="minorHAnsi"/>
        </w:rPr>
        <w:t xml:space="preserve"> bem como o </w:t>
      </w:r>
      <w:r w:rsidRPr="00C828C6">
        <w:rPr>
          <w:rFonts w:asciiTheme="minorHAnsi" w:hAnsiTheme="minorHAnsi" w:cstheme="minorHAnsi"/>
          <w:b/>
        </w:rPr>
        <w:t>direito fundamental à informação</w:t>
      </w:r>
      <w:r w:rsidRPr="00C828C6">
        <w:rPr>
          <w:rFonts w:asciiTheme="minorHAnsi" w:hAnsiTheme="minorHAnsi" w:cstheme="minorHAnsi"/>
        </w:rPr>
        <w:t xml:space="preserve">. </w:t>
      </w:r>
    </w:p>
    <w:p w:rsidR="00BC0C7F" w:rsidRPr="00D3433B" w:rsidP="00BC0C7F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D3433B">
        <w:rPr>
          <w:rFonts w:asciiTheme="minorHAnsi" w:hAnsiTheme="minorHAnsi" w:cstheme="minorHAnsi"/>
        </w:rPr>
        <w:t>O direito à informação tem previsão tanto constitucional (art. 5º, incisos XIV, CF/88), como em normas infraconstitucionais com a Lei Federal 12.527/2011 e na Lei Complementar Municipal nº 01/2013, vejamos:</w:t>
      </w:r>
    </w:p>
    <w:p w:rsidR="00BC0C7F" w:rsidRPr="007106BC" w:rsidP="002001CC">
      <w:pPr>
        <w:pStyle w:val="ListParagraph"/>
        <w:numPr>
          <w:ilvl w:val="0"/>
          <w:numId w:val="3"/>
        </w:numPr>
        <w:spacing w:after="120"/>
        <w:ind w:left="2268" w:firstLine="0"/>
        <w:jc w:val="both"/>
        <w:rPr>
          <w:rFonts w:cstheme="minorHAnsi"/>
          <w:b/>
          <w:i/>
        </w:rPr>
      </w:pPr>
      <w:r w:rsidRPr="007106BC">
        <w:rPr>
          <w:rFonts w:cstheme="minorHAnsi"/>
          <w:b/>
          <w:i/>
        </w:rPr>
        <w:t>Constituição Federal</w:t>
      </w:r>
    </w:p>
    <w:p w:rsidR="00BC0C7F" w:rsidRPr="007106BC" w:rsidP="002001CC">
      <w:pPr>
        <w:pStyle w:val="ListParagraph"/>
        <w:spacing w:after="120"/>
        <w:ind w:left="2268"/>
        <w:jc w:val="both"/>
        <w:rPr>
          <w:rFonts w:cstheme="minorHAnsi"/>
          <w:i/>
        </w:rPr>
      </w:pPr>
      <w:r w:rsidRPr="007106BC">
        <w:rPr>
          <w:rFonts w:cstheme="minorHAnsi"/>
          <w:i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BC0C7F" w:rsidRPr="007106BC" w:rsidP="002001CC">
      <w:pPr>
        <w:pStyle w:val="ListParagraph"/>
        <w:spacing w:after="120"/>
        <w:ind w:left="2268"/>
        <w:jc w:val="both"/>
        <w:rPr>
          <w:rFonts w:cstheme="minorHAnsi"/>
          <w:i/>
        </w:rPr>
      </w:pPr>
      <w:r w:rsidRPr="007106BC">
        <w:rPr>
          <w:rFonts w:cstheme="minorHAnsi"/>
          <w:i/>
        </w:rPr>
        <w:t>[...]</w:t>
      </w:r>
    </w:p>
    <w:p w:rsidR="00BC0C7F" w:rsidRPr="007106BC" w:rsidP="002001CC">
      <w:pPr>
        <w:pStyle w:val="ListParagraph"/>
        <w:spacing w:after="120"/>
        <w:ind w:left="2268"/>
        <w:jc w:val="both"/>
        <w:rPr>
          <w:rFonts w:cstheme="minorHAnsi"/>
          <w:i/>
        </w:rPr>
      </w:pPr>
      <w:r w:rsidRPr="007106BC">
        <w:rPr>
          <w:rFonts w:cstheme="minorHAnsi"/>
          <w:b/>
          <w:i/>
        </w:rPr>
        <w:t>XIV - é assegurado a todos o acesso à informação</w:t>
      </w:r>
      <w:r w:rsidRPr="007106BC">
        <w:rPr>
          <w:rFonts w:cstheme="minorHAnsi"/>
          <w:i/>
        </w:rPr>
        <w:t xml:space="preserve"> e resguardado o sigilo da fonte, quando necessário ao exercício profissional;</w:t>
      </w:r>
      <w:r w:rsidRPr="007106BC">
        <w:rPr>
          <w:rFonts w:cstheme="minorHAnsi"/>
          <w:i/>
        </w:rPr>
        <w:t xml:space="preserve">  </w:t>
      </w:r>
      <w:r w:rsidRPr="007106BC">
        <w:rPr>
          <w:rFonts w:cstheme="minorHAnsi"/>
          <w:i/>
        </w:rPr>
        <w:t> </w:t>
      </w:r>
    </w:p>
    <w:p w:rsidR="00BC0C7F" w:rsidRPr="004F49B7" w:rsidP="002001CC">
      <w:pPr>
        <w:pStyle w:val="ListParagraph"/>
        <w:spacing w:after="120"/>
        <w:ind w:left="2268"/>
        <w:jc w:val="both"/>
        <w:rPr>
          <w:rFonts w:cstheme="minorHAnsi"/>
          <w:i/>
          <w:color w:val="FF0000"/>
        </w:rPr>
      </w:pPr>
    </w:p>
    <w:p w:rsidR="00BC0C7F" w:rsidRPr="007106BC" w:rsidP="002001CC">
      <w:pPr>
        <w:pStyle w:val="ListParagraph"/>
        <w:numPr>
          <w:ilvl w:val="0"/>
          <w:numId w:val="3"/>
        </w:numPr>
        <w:spacing w:after="120"/>
        <w:ind w:left="2268" w:firstLine="0"/>
        <w:jc w:val="both"/>
        <w:rPr>
          <w:rFonts w:cstheme="minorHAnsi"/>
          <w:b/>
          <w:i/>
        </w:rPr>
      </w:pPr>
      <w:r w:rsidRPr="007106BC">
        <w:rPr>
          <w:rFonts w:cstheme="minorHAnsi"/>
          <w:b/>
          <w:i/>
        </w:rPr>
        <w:t>Lei Federal nº 12.527/2011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>Art. 1</w:t>
      </w:r>
      <w:r w:rsidRPr="007106BC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7106BC">
        <w:rPr>
          <w:rFonts w:asciiTheme="minorHAnsi" w:hAnsiTheme="minorHAnsi" w:cstheme="minorHAnsi"/>
          <w:i/>
          <w:sz w:val="22"/>
          <w:szCs w:val="22"/>
        </w:rPr>
        <w:t>  Esta Lei dispõe sobre os procedimentos a serem observados pela União, Estados, Distrito Federal e Municípios, com o fim de garantir o acesso a informações previsto no </w:t>
      </w:r>
      <w:hyperlink r:id="rId6" w:anchor="art5xxxiii" w:history="1">
        <w:r w:rsidRPr="007106BC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 xml:space="preserve">inciso XXXIII do art. </w:t>
        </w:r>
        <w:r w:rsidRPr="007106BC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5</w:t>
        </w:r>
        <w:r w:rsidRPr="007106BC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vertAlign w:val="superscript"/>
          </w:rPr>
          <w:t>o</w:t>
        </w:r>
        <w:r w:rsidRPr="007106BC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,</w:t>
        </w:r>
      </w:hyperlink>
      <w:r w:rsidRPr="007106BC">
        <w:rPr>
          <w:rFonts w:asciiTheme="minorHAnsi" w:hAnsiTheme="minorHAnsi" w:cstheme="minorHAnsi"/>
          <w:i/>
          <w:sz w:val="22"/>
          <w:szCs w:val="22"/>
        </w:rPr>
        <w:t> no</w:t>
      </w:r>
      <w:hyperlink r:id="rId6" w:anchor="art37%C2%A73ii" w:history="1">
        <w:r w:rsidRPr="007106BC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 inciso II do § 3º do art. 37</w:t>
        </w:r>
      </w:hyperlink>
      <w:r w:rsidRPr="007106BC">
        <w:rPr>
          <w:rFonts w:asciiTheme="minorHAnsi" w:hAnsiTheme="minorHAnsi" w:cstheme="minorHAnsi"/>
          <w:i/>
          <w:sz w:val="22"/>
          <w:szCs w:val="22"/>
        </w:rPr>
        <w:t> e no </w:t>
      </w:r>
      <w:hyperlink r:id="rId6" w:anchor="art216%C2%A72" w:history="1">
        <w:r w:rsidRPr="007106BC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§ 2º do art. 216 da Constituição Federal. </w:t>
        </w:r>
      </w:hyperlink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>Parágrafo único.  Subordinam-se ao regime desta Lei: 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 xml:space="preserve">I - 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os órgãos públicos integrantes da administração direta dos Poderes Executivo, Legislativo</w:t>
      </w:r>
      <w:r w:rsidRPr="007106BC">
        <w:rPr>
          <w:rFonts w:asciiTheme="minorHAnsi" w:hAnsiTheme="minorHAnsi" w:cstheme="minorHAnsi"/>
          <w:i/>
          <w:sz w:val="22"/>
          <w:szCs w:val="22"/>
        </w:rPr>
        <w:t>, incluindo as Cortes de Contas, e Judiciário e do Ministério Público; 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>II - as autarquias, as fundações públicas, as empresas públicas, as sociedades de economia mista e demais entidades controladas direta ou indiretamente pela União, Estados, Distrito Federal e Municípios.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>Art. 3</w:t>
      </w:r>
      <w:r w:rsidRPr="007106BC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7106BC">
        <w:rPr>
          <w:rFonts w:asciiTheme="minorHAnsi" w:hAnsiTheme="minorHAnsi" w:cstheme="minorHAnsi"/>
          <w:i/>
          <w:sz w:val="22"/>
          <w:szCs w:val="22"/>
        </w:rPr>
        <w:t xml:space="preserve">  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Os procedimentos previstos nesta Lei destinam-se a assegurar o direito fundamental de acesso à informação e devem ser executados em conformidade com os princípios básicos da administração pública e com as seguintes diretrizes: 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 xml:space="preserve">II - 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divulgação de informações de interesse público, independentemente de solicitações;</w:t>
      </w:r>
      <w:r w:rsidRPr="007106BC">
        <w:rPr>
          <w:rFonts w:asciiTheme="minorHAnsi" w:hAnsiTheme="minorHAnsi" w:cstheme="minorHAnsi"/>
          <w:i/>
          <w:sz w:val="22"/>
          <w:szCs w:val="22"/>
        </w:rPr>
        <w:t> 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06BC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06BC">
        <w:rPr>
          <w:rFonts w:asciiTheme="minorHAnsi" w:hAnsiTheme="minorHAnsi" w:cstheme="minorHAnsi"/>
          <w:b/>
          <w:i/>
          <w:sz w:val="22"/>
          <w:szCs w:val="22"/>
        </w:rPr>
        <w:t>Art. 8</w:t>
      </w:r>
      <w:r w:rsidRPr="007106BC">
        <w:rPr>
          <w:rFonts w:asciiTheme="minorHAnsi" w:hAnsiTheme="minorHAnsi" w:cstheme="minorHAnsi"/>
          <w:b/>
          <w:i/>
          <w:sz w:val="22"/>
          <w:szCs w:val="22"/>
          <w:u w:val="single"/>
          <w:vertAlign w:val="superscript"/>
        </w:rPr>
        <w:t>o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  É dever dos órgãos e entidades públicas promover, independentemente de requerimentos, a divulgação em local de fácil acesso, no âmbito de suas competências, de informações de interesse coletivo ou geral por eles produzidas ou custodiadas. 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06BC">
        <w:rPr>
          <w:rFonts w:asciiTheme="minorHAnsi" w:hAnsiTheme="minorHAnsi" w:cstheme="minorHAnsi"/>
          <w:b/>
          <w:i/>
          <w:sz w:val="22"/>
          <w:szCs w:val="22"/>
        </w:rPr>
        <w:t>§ 2</w:t>
      </w:r>
      <w:r w:rsidRPr="007106BC">
        <w:rPr>
          <w:rFonts w:asciiTheme="minorHAnsi" w:hAnsiTheme="minorHAnsi" w:cstheme="minorHAnsi"/>
          <w:b/>
          <w:i/>
          <w:sz w:val="22"/>
          <w:szCs w:val="22"/>
          <w:u w:val="single"/>
          <w:vertAlign w:val="superscript"/>
        </w:rPr>
        <w:t>o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  Para cumprimento do disposto no </w:t>
      </w:r>
      <w:r w:rsidRPr="007106BC">
        <w:rPr>
          <w:rFonts w:asciiTheme="minorHAnsi" w:hAnsiTheme="minorHAnsi" w:cstheme="minorHAnsi"/>
          <w:b/>
          <w:bCs/>
          <w:i/>
          <w:sz w:val="22"/>
          <w:szCs w:val="22"/>
        </w:rPr>
        <w:t>caput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, os órgãos e entidades públicas deverão utilizar todos os meios e instrumentos legítimos de que dispuserem</w:t>
      </w:r>
      <w:r w:rsidRPr="007106BC">
        <w:rPr>
          <w:rFonts w:asciiTheme="minorHAnsi" w:hAnsiTheme="minorHAnsi" w:cstheme="minorHAnsi"/>
          <w:i/>
          <w:sz w:val="22"/>
          <w:szCs w:val="22"/>
        </w:rPr>
        <w:t>, sendo obrigatória a divulgação em sítios oficiais da rede mundial de computadores (internet).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 </w:t>
      </w:r>
    </w:p>
    <w:p w:rsidR="00BC0C7F" w:rsidRPr="007106BC" w:rsidP="002001CC">
      <w:pPr>
        <w:pStyle w:val="artigo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06BC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C0C7F" w:rsidRPr="007106BC" w:rsidP="002001CC">
      <w:pPr>
        <w:pStyle w:val="ListParagraph"/>
        <w:numPr>
          <w:ilvl w:val="0"/>
          <w:numId w:val="3"/>
        </w:numPr>
        <w:spacing w:after="120"/>
        <w:ind w:left="2268" w:firstLine="0"/>
        <w:jc w:val="both"/>
        <w:rPr>
          <w:rFonts w:cstheme="minorHAnsi"/>
          <w:b/>
          <w:i/>
        </w:rPr>
      </w:pPr>
      <w:bookmarkStart w:id="0" w:name="art9"/>
      <w:bookmarkEnd w:id="0"/>
      <w:r w:rsidRPr="007106BC">
        <w:rPr>
          <w:rFonts w:cstheme="minorHAnsi"/>
          <w:b/>
          <w:i/>
        </w:rPr>
        <w:t>Lei Complementar Municipal nº 01/2013</w:t>
      </w:r>
    </w:p>
    <w:p w:rsidR="00BC0C7F" w:rsidRPr="007106BC" w:rsidP="002001CC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 xml:space="preserve">Art. 3°. Os procedimentos previstos nesta Lei destinam-se a assegurar o direito fundamental de acesso à informação e devem ser executados em conformidade com os princípios básicos da administração pública e com as seguintes diretrizes: </w:t>
      </w:r>
    </w:p>
    <w:p w:rsidR="00BC0C7F" w:rsidRPr="007106BC" w:rsidP="002001CC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 xml:space="preserve">I. 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observância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 xml:space="preserve"> da publicidade como preceito geral e do sigilo como exceção;</w:t>
      </w:r>
      <w:r w:rsidRPr="007106B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0C7F" w:rsidRPr="007106BC" w:rsidP="002001CC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 xml:space="preserve">II. 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>divulgação</w:t>
      </w:r>
      <w:r w:rsidRPr="007106BC">
        <w:rPr>
          <w:rFonts w:asciiTheme="minorHAnsi" w:hAnsiTheme="minorHAnsi" w:cstheme="minorHAnsi"/>
          <w:b/>
          <w:i/>
          <w:sz w:val="22"/>
          <w:szCs w:val="22"/>
        </w:rPr>
        <w:t xml:space="preserve"> de informações de interesse público, independentemente de  solicitações;</w:t>
      </w:r>
    </w:p>
    <w:p w:rsidR="00BC0C7F" w:rsidRPr="007106BC" w:rsidP="002001CC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06BC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C0C7F" w:rsidRPr="00EA09B6" w:rsidP="002001CC">
      <w:pPr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A09B6">
        <w:rPr>
          <w:rFonts w:asciiTheme="minorHAnsi" w:hAnsiTheme="minorHAnsi" w:cstheme="minorHAnsi"/>
          <w:b/>
          <w:i/>
          <w:sz w:val="22"/>
          <w:szCs w:val="22"/>
        </w:rPr>
        <w:t>Art. 8°. É dever dos órgãos e entidades públicas promover, independentemente de requerimentos, a divulgação em local de fácil acesso, no âmbito de suas competências, de informações de interesse coletivo ou geral por eles produzidas ou custodiadas.</w:t>
      </w:r>
    </w:p>
    <w:p w:rsidR="00BC0C7F" w:rsidRPr="00EA09B6" w:rsidP="002001CC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09B6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C0C7F" w:rsidRPr="00EA09B6" w:rsidP="002001CC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09B6">
        <w:rPr>
          <w:rFonts w:asciiTheme="minorHAnsi" w:hAnsiTheme="minorHAnsi" w:cstheme="minorHAnsi"/>
          <w:b/>
          <w:i/>
          <w:sz w:val="22"/>
          <w:szCs w:val="22"/>
        </w:rPr>
        <w:t xml:space="preserve">§ 2° Para cumprimento do disposto no caput, os órgãos e entidades públicas deverão utilizar todos os meios e instrumentos legítimos de que dispuserem, </w:t>
      </w:r>
      <w:r w:rsidRPr="00EA09B6">
        <w:rPr>
          <w:rFonts w:asciiTheme="minorHAnsi" w:hAnsiTheme="minorHAnsi" w:cstheme="minorHAnsi"/>
          <w:i/>
          <w:sz w:val="22"/>
          <w:szCs w:val="22"/>
        </w:rPr>
        <w:t xml:space="preserve">sendo obrigatória a divulgação em sítios oficiais da rede mundial de computadores (internet). </w:t>
      </w:r>
    </w:p>
    <w:p w:rsidR="00BC0C7F" w:rsidP="002001CC">
      <w:pPr>
        <w:spacing w:after="120" w:line="276" w:lineRule="auto"/>
        <w:ind w:left="2268"/>
        <w:jc w:val="both"/>
        <w:rPr>
          <w:rFonts w:eastAsia="Calibri" w:asciiTheme="minorHAnsi" w:hAnsiTheme="minorHAnsi" w:cstheme="minorHAnsi"/>
          <w:szCs w:val="24"/>
        </w:rPr>
      </w:pPr>
      <w:r w:rsidRPr="00EA09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A09B6">
        <w:rPr>
          <w:rFonts w:asciiTheme="minorHAnsi" w:hAnsiTheme="minorHAnsi" w:cstheme="minorHAnsi"/>
          <w:i/>
          <w:sz w:val="22"/>
          <w:szCs w:val="22"/>
        </w:rPr>
        <w:t>[...]</w:t>
      </w:r>
      <w:r w:rsidRPr="00EA09B6">
        <w:rPr>
          <w:rFonts w:eastAsia="Calibri" w:asciiTheme="minorHAnsi" w:hAnsiTheme="minorHAnsi" w:cstheme="minorHAnsi"/>
          <w:szCs w:val="24"/>
        </w:rPr>
        <w:t xml:space="preserve">  </w:t>
      </w:r>
    </w:p>
    <w:p w:rsidR="00BC0C7F" w:rsidRPr="004F49B7" w:rsidP="00BC0C7F">
      <w:pPr>
        <w:spacing w:after="120" w:line="360" w:lineRule="auto"/>
        <w:ind w:left="2268"/>
        <w:jc w:val="both"/>
        <w:rPr>
          <w:rFonts w:eastAsia="Calibri" w:asciiTheme="minorHAnsi" w:hAnsiTheme="minorHAnsi" w:cstheme="minorHAnsi"/>
          <w:color w:val="FF0000"/>
          <w:sz w:val="12"/>
          <w:szCs w:val="12"/>
        </w:rPr>
      </w:pPr>
    </w:p>
    <w:p w:rsidR="00BC0C7F" w:rsidRPr="00877340" w:rsidP="00BC0C7F">
      <w:pPr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4F49B7">
        <w:rPr>
          <w:rFonts w:asciiTheme="minorHAnsi" w:hAnsiTheme="minorHAnsi" w:cstheme="minorHAnsi"/>
          <w:color w:val="FF0000"/>
        </w:rPr>
        <w:t xml:space="preserve"> </w:t>
      </w:r>
      <w:r w:rsidRPr="00877340" w:rsidR="00F300EC">
        <w:rPr>
          <w:rFonts w:eastAsia="Calibri" w:asciiTheme="minorHAnsi" w:hAnsiTheme="minorHAnsi" w:cstheme="minorHAnsi"/>
          <w:szCs w:val="24"/>
        </w:rPr>
        <w:t xml:space="preserve">No tocante à iniciativa, </w:t>
      </w:r>
      <w:r w:rsidRPr="00877340">
        <w:rPr>
          <w:rFonts w:eastAsia="Calibri" w:asciiTheme="minorHAnsi" w:hAnsiTheme="minorHAnsi" w:cstheme="minorHAnsi"/>
          <w:szCs w:val="24"/>
        </w:rPr>
        <w:t xml:space="preserve">a matéria da </w:t>
      </w:r>
      <w:r w:rsidRPr="00877340" w:rsidR="00F300EC">
        <w:rPr>
          <w:rFonts w:eastAsia="Calibri" w:asciiTheme="minorHAnsi" w:hAnsiTheme="minorHAnsi" w:cstheme="minorHAnsi"/>
          <w:szCs w:val="24"/>
        </w:rPr>
        <w:t>proposição em comento não é de deflagração reservada a</w:t>
      </w:r>
      <w:r w:rsidRPr="00877340">
        <w:rPr>
          <w:rFonts w:eastAsia="Calibri" w:asciiTheme="minorHAnsi" w:hAnsiTheme="minorHAnsi" w:cstheme="minorHAnsi"/>
          <w:szCs w:val="24"/>
        </w:rPr>
        <w:t xml:space="preserve">o Prefeito, conforme se verifica </w:t>
      </w:r>
      <w:r w:rsidRPr="00877340" w:rsidR="007513CB">
        <w:rPr>
          <w:rFonts w:eastAsia="Calibri" w:asciiTheme="minorHAnsi" w:hAnsiTheme="minorHAnsi" w:cstheme="minorHAnsi"/>
          <w:szCs w:val="24"/>
        </w:rPr>
        <w:t xml:space="preserve">no </w:t>
      </w:r>
      <w:r w:rsidRPr="00877340">
        <w:rPr>
          <w:rFonts w:eastAsia="Calibri" w:asciiTheme="minorHAnsi" w:hAnsiTheme="minorHAnsi" w:cstheme="minorHAnsi"/>
          <w:szCs w:val="24"/>
        </w:rPr>
        <w:t>art. 24, § 2º</w:t>
      </w:r>
      <w:r w:rsidRPr="00877340" w:rsidR="007513CB">
        <w:rPr>
          <w:rFonts w:eastAsia="Calibri" w:asciiTheme="minorHAnsi" w:hAnsiTheme="minorHAnsi" w:cstheme="minorHAnsi"/>
          <w:szCs w:val="24"/>
        </w:rPr>
        <w:t>, da</w:t>
      </w:r>
      <w:r w:rsidRPr="00877340">
        <w:rPr>
          <w:rFonts w:eastAsia="Calibri" w:asciiTheme="minorHAnsi" w:hAnsiTheme="minorHAnsi" w:cstheme="minorHAnsi"/>
          <w:szCs w:val="24"/>
        </w:rPr>
        <w:t xml:space="preserve"> Constituição Bandeirante</w:t>
      </w:r>
      <w:r w:rsidRPr="00877340" w:rsidR="00A0693C">
        <w:rPr>
          <w:rFonts w:eastAsia="Calibri" w:asciiTheme="minorHAnsi" w:hAnsiTheme="minorHAnsi" w:cstheme="minorHAnsi"/>
          <w:szCs w:val="24"/>
        </w:rPr>
        <w:t xml:space="preserve"> e no art. 48</w:t>
      </w:r>
      <w:r w:rsidRPr="00877340" w:rsidR="007513CB">
        <w:rPr>
          <w:rFonts w:eastAsia="Calibri" w:asciiTheme="minorHAnsi" w:hAnsiTheme="minorHAnsi" w:cstheme="minorHAnsi"/>
          <w:szCs w:val="24"/>
        </w:rPr>
        <w:t>, da Lei Orgânica do Município:</w:t>
      </w:r>
    </w:p>
    <w:p w:rsidR="00BC0C7F" w:rsidRPr="00877340" w:rsidP="002001CC">
      <w:pPr>
        <w:pStyle w:val="Default"/>
        <w:numPr>
          <w:ilvl w:val="0"/>
          <w:numId w:val="3"/>
        </w:numPr>
        <w:spacing w:line="276" w:lineRule="auto"/>
        <w:ind w:left="2268" w:hanging="11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877340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A0693C" w:rsidRPr="00877340" w:rsidP="002001CC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b/>
          <w:bCs/>
          <w:i/>
          <w:color w:val="auto"/>
          <w:sz w:val="12"/>
          <w:szCs w:val="12"/>
        </w:rPr>
      </w:pPr>
    </w:p>
    <w:p w:rsidR="00BC0C7F" w:rsidRPr="00092EE4" w:rsidP="002001CC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92EE4">
        <w:rPr>
          <w:rFonts w:asciiTheme="minorHAnsi" w:hAnsiTheme="minorHAnsi" w:cstheme="minorHAnsi"/>
          <w:bCs/>
          <w:i/>
          <w:color w:val="auto"/>
          <w:sz w:val="22"/>
          <w:szCs w:val="22"/>
        </w:rPr>
        <w:t>Artigo 24</w:t>
      </w:r>
      <w:r w:rsidRPr="00092EE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- A iniciativa das leis complementares e ordinárias cabe a qualquer membro ou comissão da Assembléia Legislativa, ao Governador do Estado, ao Tribunal de Justiça, ao Procurador-Geral de Justiça e aos cidadãos, na forma e nos casos previstos nesta Constituição.</w:t>
      </w:r>
    </w:p>
    <w:p w:rsidR="00BC0C7F" w:rsidRPr="00092EE4" w:rsidP="002001CC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92EE4">
        <w:rPr>
          <w:rFonts w:asciiTheme="minorHAnsi" w:hAnsiTheme="minorHAnsi" w:cstheme="minorHAnsi"/>
          <w:bCs/>
          <w:i/>
          <w:color w:val="auto"/>
          <w:sz w:val="22"/>
          <w:szCs w:val="22"/>
        </w:rPr>
        <w:t>(</w:t>
      </w:r>
      <w:r w:rsidRPr="00092EE4">
        <w:rPr>
          <w:rFonts w:asciiTheme="minorHAnsi" w:hAnsiTheme="minorHAnsi" w:cstheme="minorHAnsi"/>
          <w:i/>
          <w:color w:val="auto"/>
          <w:sz w:val="22"/>
          <w:szCs w:val="22"/>
        </w:rPr>
        <w:t>...)</w:t>
      </w:r>
    </w:p>
    <w:p w:rsidR="00BC0C7F" w:rsidRPr="00877340" w:rsidP="002001CC">
      <w:pPr>
        <w:pStyle w:val="paragrafo"/>
        <w:spacing w:before="0" w:beforeAutospacing="0" w:after="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092EE4">
        <w:rPr>
          <w:rFonts w:eastAsia="Calibri" w:asciiTheme="minorHAnsi" w:hAnsiTheme="minorHAnsi" w:cstheme="minorHAnsi"/>
          <w:i/>
          <w:sz w:val="22"/>
          <w:szCs w:val="22"/>
        </w:rPr>
        <w:t>§ 2º -</w:t>
      </w:r>
      <w:r w:rsidRPr="00877340">
        <w:rPr>
          <w:rFonts w:eastAsia="Calibri" w:asciiTheme="minorHAnsi" w:hAnsiTheme="minorHAnsi" w:cstheme="minorHAnsi"/>
          <w:i/>
          <w:sz w:val="22"/>
          <w:szCs w:val="22"/>
        </w:rPr>
        <w:t xml:space="preserve"> Compete, exclusivamente, ao Governador do Estado a iniciativa das leis que disponham sobre:</w:t>
      </w:r>
    </w:p>
    <w:p w:rsidR="00BC0C7F" w:rsidRPr="00877340" w:rsidP="002001CC">
      <w:pPr>
        <w:pStyle w:val="item"/>
        <w:spacing w:before="0" w:beforeAutospacing="0" w:after="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1 - criação e extinção de cargos, funções ou empregos públicos na administração direta e autárquica, bem como a fixação da respectiva remuneração;</w:t>
      </w:r>
    </w:p>
    <w:p w:rsidR="00BC0C7F" w:rsidRPr="00877340" w:rsidP="002001CC">
      <w:pPr>
        <w:pStyle w:val="item"/>
        <w:spacing w:before="0" w:beforeAutospacing="0" w:after="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2 - criação e extinção das Secretarias de Estado e órgãos da administração pública, observado o disposto no art. 47, XIX; (NR) - Redação dada pela Emenda Constitucional nº 21, de 14/2/2006.</w:t>
      </w:r>
    </w:p>
    <w:p w:rsidR="00A0693C" w:rsidRPr="00877340" w:rsidP="002001CC">
      <w:pPr>
        <w:pStyle w:val="item"/>
        <w:spacing w:before="0" w:beforeAutospacing="0" w:after="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3 - organização da Procuradoria Geral do Estado e da Defensoria Pública do Estado, observadas as normas gerais da União;</w:t>
      </w:r>
    </w:p>
    <w:p w:rsidR="00BC0C7F" w:rsidRPr="00877340" w:rsidP="002001CC">
      <w:pPr>
        <w:pStyle w:val="item"/>
        <w:spacing w:before="0" w:beforeAutospacing="0" w:after="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4 - servidores públicos do Estado, seu regime jurídico, provimento de cargos, estabilidade e aposentadoria; (NR) - Redação dada pela Emenda Constitucional nº 21, de 14/2/2006.</w:t>
      </w:r>
    </w:p>
    <w:p w:rsidR="00BC0C7F" w:rsidRPr="00877340" w:rsidP="002001CC">
      <w:pPr>
        <w:pStyle w:val="item"/>
        <w:spacing w:before="0" w:beforeAutospacing="0" w:after="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5 - militares, seu regime jurídico, provimento de cargos, promoções, estabilidade, remuneração, reforma e transferência para inatividade, bem como fixação ou alteração do efetivo da Polícia Militar; (NR) - Redação dada pela Emenda Constitucional nº 21, de 14/2/2006.</w:t>
      </w:r>
    </w:p>
    <w:p w:rsidR="00BC0C7F" w:rsidP="002001CC">
      <w:pPr>
        <w:pStyle w:val="item"/>
        <w:spacing w:before="0" w:beforeAutospacing="0" w:after="12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6 - criação</w:t>
      </w:r>
      <w:r w:rsidRPr="00877340">
        <w:rPr>
          <w:rFonts w:eastAsia="Calibri" w:asciiTheme="minorHAnsi" w:hAnsiTheme="minorHAnsi" w:cstheme="minorHAnsi"/>
          <w:i/>
          <w:sz w:val="22"/>
          <w:szCs w:val="22"/>
        </w:rPr>
        <w:t>, alteração ou supressão de cartórios notariais e de registros públicos</w:t>
      </w:r>
    </w:p>
    <w:p w:rsidR="00092EE4" w:rsidRPr="00877340" w:rsidP="002001CC">
      <w:pPr>
        <w:pStyle w:val="item"/>
        <w:spacing w:before="0" w:beforeAutospacing="0" w:after="12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</w:p>
    <w:p w:rsidR="00A0693C" w:rsidRPr="00877340" w:rsidP="002001CC">
      <w:pPr>
        <w:pStyle w:val="Default"/>
        <w:numPr>
          <w:ilvl w:val="0"/>
          <w:numId w:val="3"/>
        </w:numPr>
        <w:spacing w:after="240" w:line="276" w:lineRule="auto"/>
        <w:ind w:left="2268" w:hanging="11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7734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Lei Orgânica de Valinhos</w:t>
      </w:r>
    </w:p>
    <w:p w:rsidR="00A0693C" w:rsidRPr="00877340" w:rsidP="002001CC">
      <w:pPr>
        <w:pStyle w:val="Default"/>
        <w:spacing w:after="24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77340">
        <w:rPr>
          <w:rFonts w:asciiTheme="minorHAnsi" w:hAnsiTheme="minorHAnsi" w:cstheme="minorHAnsi"/>
          <w:b/>
          <w:i/>
          <w:color w:val="auto"/>
          <w:sz w:val="22"/>
          <w:szCs w:val="22"/>
        </w:rPr>
        <w:t>Art. 48.</w:t>
      </w:r>
      <w:r w:rsidRPr="0087734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Compete, exclusivamente, ao Prefeito a iniciativa dos projetos de lei que disponham sobre:</w:t>
      </w:r>
    </w:p>
    <w:p w:rsidR="00A0693C" w:rsidRPr="00877340" w:rsidP="002001CC">
      <w:pPr>
        <w:autoSpaceDE w:val="0"/>
        <w:autoSpaceDN w:val="0"/>
        <w:adjustRightInd w:val="0"/>
        <w:spacing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A0693C" w:rsidRPr="00877340" w:rsidP="002001CC">
      <w:pPr>
        <w:autoSpaceDE w:val="0"/>
        <w:autoSpaceDN w:val="0"/>
        <w:adjustRightInd w:val="0"/>
        <w:spacing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II - criação, estruturação e atribuições das Secretarias Municipais e órgãos da administração pública;</w:t>
      </w:r>
    </w:p>
    <w:p w:rsidR="00A0693C" w:rsidRPr="00877340" w:rsidP="002001CC">
      <w:pPr>
        <w:autoSpaceDE w:val="0"/>
        <w:autoSpaceDN w:val="0"/>
        <w:adjustRightInd w:val="0"/>
        <w:spacing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877340">
        <w:rPr>
          <w:rFonts w:eastAsia="Calibri" w:asciiTheme="minorHAnsi" w:hAnsiTheme="minorHAnsi" w:cstheme="minorHAnsi"/>
          <w:i/>
          <w:sz w:val="22"/>
          <w:szCs w:val="22"/>
        </w:rPr>
        <w:t>III - servidores públicos do Município, seu regime jurídico, provimento de cargos, estabilidade e aposentadoria;</w:t>
      </w:r>
    </w:p>
    <w:p w:rsidR="00A0693C" w:rsidRPr="00877340" w:rsidP="002001CC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77340">
        <w:rPr>
          <w:rFonts w:asciiTheme="minorHAnsi" w:hAnsiTheme="minorHAnsi" w:cstheme="minorHAnsi"/>
          <w:i/>
          <w:color w:val="auto"/>
          <w:sz w:val="22"/>
          <w:szCs w:val="22"/>
        </w:rPr>
        <w:t>IV - abertura de créditos adicionais.</w:t>
      </w:r>
    </w:p>
    <w:p w:rsidR="00A0693C" w:rsidRPr="004F49B7" w:rsidP="00A0693C">
      <w:pPr>
        <w:pStyle w:val="Default"/>
        <w:spacing w:line="360" w:lineRule="auto"/>
        <w:ind w:left="2268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BC0C7F" w:rsidRPr="00877340" w:rsidP="008C1FEC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877340">
        <w:rPr>
          <w:rFonts w:asciiTheme="minorHAnsi" w:hAnsiTheme="minorHAnsi" w:cstheme="minorHAnsi"/>
          <w:color w:val="auto"/>
        </w:rPr>
        <w:t xml:space="preserve"> </w:t>
      </w:r>
      <w:r w:rsidRPr="00877340" w:rsidR="00877340">
        <w:rPr>
          <w:rFonts w:asciiTheme="minorHAnsi" w:hAnsiTheme="minorHAnsi" w:cstheme="minorHAnsi"/>
          <w:color w:val="auto"/>
        </w:rPr>
        <w:t>Des</w:t>
      </w:r>
      <w:r w:rsidR="004E577C">
        <w:rPr>
          <w:rFonts w:asciiTheme="minorHAnsi" w:hAnsiTheme="minorHAnsi" w:cstheme="minorHAnsi"/>
          <w:color w:val="auto"/>
        </w:rPr>
        <w:t>s</w:t>
      </w:r>
      <w:r w:rsidRPr="00877340" w:rsidR="00877340">
        <w:rPr>
          <w:rFonts w:asciiTheme="minorHAnsi" w:hAnsiTheme="minorHAnsi" w:cstheme="minorHAnsi"/>
          <w:color w:val="auto"/>
        </w:rPr>
        <w:t xml:space="preserve">e modo, não vislumbramos óbice na iniciativa parlamentar, </w:t>
      </w:r>
      <w:r w:rsidR="00877340">
        <w:rPr>
          <w:rFonts w:asciiTheme="minorHAnsi" w:hAnsiTheme="minorHAnsi" w:cstheme="minorHAnsi"/>
          <w:color w:val="auto"/>
        </w:rPr>
        <w:t>por tratar de matéria estranha ao</w:t>
      </w:r>
      <w:r w:rsidRPr="00877340">
        <w:rPr>
          <w:rFonts w:asciiTheme="minorHAnsi" w:hAnsiTheme="minorHAnsi" w:cstheme="minorHAnsi"/>
          <w:color w:val="auto"/>
        </w:rPr>
        <w:t xml:space="preserve"> rol taxativo de hipóteses de iniciativa privativa do Chefe do Executivo.</w:t>
      </w:r>
    </w:p>
    <w:p w:rsidR="00BC0C7F" w:rsidRPr="00207322" w:rsidP="008C1FEC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207322">
        <w:rPr>
          <w:rFonts w:asciiTheme="minorHAnsi" w:hAnsiTheme="minorHAnsi" w:cstheme="minorHAnsi"/>
          <w:color w:val="auto"/>
        </w:rPr>
        <w:t>Nesse sentido, colacionamos entendimento da Suprema Corte:</w:t>
      </w:r>
    </w:p>
    <w:p w:rsidR="00BC0C7F" w:rsidRPr="00207322" w:rsidP="007A481F">
      <w:pPr>
        <w:pStyle w:val="Default"/>
        <w:spacing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3"/>
          <w:szCs w:val="23"/>
        </w:rPr>
      </w:pPr>
      <w:r w:rsidRPr="00207322">
        <w:rPr>
          <w:rFonts w:asciiTheme="minorHAnsi" w:hAnsiTheme="minorHAnsi" w:cstheme="minorHAnsi"/>
          <w:i/>
          <w:color w:val="auto"/>
          <w:sz w:val="23"/>
          <w:szCs w:val="23"/>
        </w:rPr>
        <w:t>“</w:t>
      </w:r>
      <w:r w:rsidRPr="00207322">
        <w:rPr>
          <w:rFonts w:asciiTheme="minorHAnsi" w:hAnsiTheme="minorHAnsi" w:cstheme="minorHAnsi"/>
          <w:b/>
          <w:i/>
          <w:color w:val="auto"/>
          <w:sz w:val="23"/>
          <w:szCs w:val="23"/>
        </w:rPr>
        <w:t>Lei disciplinadora de atos de publicidade</w:t>
      </w:r>
      <w:r w:rsidRPr="00207322">
        <w:rPr>
          <w:rFonts w:asciiTheme="minorHAnsi" w:hAnsiTheme="minorHAnsi" w:cstheme="minorHAnsi"/>
          <w:i/>
          <w:color w:val="auto"/>
          <w:sz w:val="23"/>
          <w:szCs w:val="23"/>
        </w:rPr>
        <w:t xml:space="preserve"> do Estado, que </w:t>
      </w:r>
      <w:r w:rsidRPr="00207322">
        <w:rPr>
          <w:rFonts w:asciiTheme="minorHAnsi" w:hAnsiTheme="minorHAnsi" w:cstheme="minorHAnsi"/>
          <w:b/>
          <w:i/>
          <w:color w:val="auto"/>
          <w:sz w:val="23"/>
          <w:szCs w:val="23"/>
        </w:rPr>
        <w:t>independem de reserva de iniciativa do Chefe do Poder Executivo</w:t>
      </w:r>
      <w:r w:rsidRPr="00207322">
        <w:rPr>
          <w:rFonts w:asciiTheme="minorHAnsi" w:hAnsiTheme="minorHAnsi" w:cstheme="minorHAnsi"/>
          <w:i/>
          <w:color w:val="auto"/>
          <w:sz w:val="23"/>
          <w:szCs w:val="23"/>
        </w:rPr>
        <w:t xml:space="preserve"> estatal, visto que não versam sobre criação, estruturação e atribuições dos órgãos da Administração Pública. Não incidência de vedação constitucional (CF, artigo 61, § 1º, II, e)” (STF, ADI-MC 2.472-RS, Tribunal Pleno, Rel. Min. Maurício Correa, 12-03-2002, </w:t>
      </w:r>
      <w:r w:rsidRPr="00207322">
        <w:rPr>
          <w:rFonts w:asciiTheme="minorHAnsi" w:hAnsiTheme="minorHAnsi" w:cstheme="minorHAnsi"/>
          <w:i/>
          <w:color w:val="auto"/>
          <w:sz w:val="23"/>
          <w:szCs w:val="23"/>
        </w:rPr>
        <w:t>v.u</w:t>
      </w:r>
      <w:r w:rsidRPr="00207322">
        <w:rPr>
          <w:rFonts w:asciiTheme="minorHAnsi" w:hAnsiTheme="minorHAnsi" w:cstheme="minorHAnsi"/>
          <w:i/>
          <w:color w:val="auto"/>
          <w:sz w:val="23"/>
          <w:szCs w:val="23"/>
        </w:rPr>
        <w:t>., DJ 03-05-2002, p. 13).</w:t>
      </w:r>
      <w:r w:rsidRPr="00660E82" w:rsidR="00660E82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60E82">
        <w:rPr>
          <w:rFonts w:asciiTheme="minorHAnsi" w:hAnsiTheme="minorHAnsi"/>
          <w:sz w:val="22"/>
          <w:szCs w:val="22"/>
          <w:shd w:val="clear" w:color="auto" w:fill="FFFFFF"/>
        </w:rPr>
        <w:t>Grifo nosso.</w:t>
      </w:r>
    </w:p>
    <w:p w:rsidR="00207322" w:rsidRPr="002001CC" w:rsidP="00BC0C7F">
      <w:pPr>
        <w:pStyle w:val="Default"/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i/>
          <w:color w:val="FF0000"/>
          <w:sz w:val="12"/>
          <w:szCs w:val="12"/>
        </w:rPr>
      </w:pPr>
      <w:r w:rsidRPr="004F49B7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 </w:t>
      </w:r>
      <w:r w:rsidRPr="004F49B7">
        <w:rPr>
          <w:rFonts w:asciiTheme="minorHAnsi" w:hAnsiTheme="minorHAnsi" w:cstheme="minorHAnsi"/>
          <w:i/>
          <w:color w:val="FF0000"/>
          <w:sz w:val="23"/>
          <w:szCs w:val="23"/>
        </w:rPr>
        <w:tab/>
      </w:r>
    </w:p>
    <w:p w:rsidR="00BC0C7F" w:rsidRPr="009F0BD1" w:rsidP="00F36C90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9F0BD1">
        <w:rPr>
          <w:rFonts w:asciiTheme="minorHAnsi" w:hAnsiTheme="minorHAnsi" w:cstheme="minorHAnsi"/>
          <w:color w:val="auto"/>
        </w:rPr>
        <w:t>Na mesma linha,</w:t>
      </w:r>
      <w:r w:rsidRPr="009F0BD1">
        <w:rPr>
          <w:rFonts w:asciiTheme="minorHAnsi" w:hAnsiTheme="minorHAnsi" w:cstheme="minorHAnsi"/>
          <w:color w:val="auto"/>
        </w:rPr>
        <w:t xml:space="preserve"> colacionamos decisões do </w:t>
      </w:r>
      <w:r w:rsidRPr="009F0BD1" w:rsidR="009F0BD1">
        <w:rPr>
          <w:rFonts w:asciiTheme="minorHAnsi" w:hAnsiTheme="minorHAnsi" w:cstheme="minorHAnsi"/>
          <w:color w:val="auto"/>
        </w:rPr>
        <w:t xml:space="preserve">E. </w:t>
      </w:r>
      <w:r w:rsidRPr="009F0BD1">
        <w:rPr>
          <w:rFonts w:asciiTheme="minorHAnsi" w:hAnsiTheme="minorHAnsi" w:cstheme="minorHAnsi"/>
          <w:color w:val="auto"/>
        </w:rPr>
        <w:t>Tribunal de Justiça do Estado de São Paulo</w:t>
      </w:r>
      <w:r w:rsidR="009F0BD1">
        <w:rPr>
          <w:rFonts w:asciiTheme="minorHAnsi" w:hAnsiTheme="minorHAnsi" w:cstheme="minorHAnsi"/>
          <w:color w:val="auto"/>
        </w:rPr>
        <w:t>:</w:t>
      </w:r>
    </w:p>
    <w:p w:rsidR="00A0693C" w:rsidRPr="009F0BD1" w:rsidP="008C1FEC">
      <w:pPr>
        <w:pStyle w:val="Default"/>
        <w:pBdr>
          <w:bottom w:val="single" w:sz="12" w:space="1" w:color="auto"/>
        </w:pBdr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</w:pPr>
      <w:r w:rsidRPr="009F0BD1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AÇÃO DIRETA DE INCONSTITUCIONALIDADE – Lei nº 3.629, de 22 de novembro de 2019, do Município de Andradina, </w:t>
      </w:r>
      <w:r w:rsidRPr="009F0BD1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dispondo que terrenos baldios pertencentes à Prefeitura local deverão ser identificados com placa informativa dessa propriedade – Norma que </w:t>
      </w:r>
      <w:r w:rsidRPr="009F0BD1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não trata de quaisquer das matérias cuja iniciativa legislativa esteja reservada pela Constituição Estadual ao Chefe do Poder </w:t>
      </w:r>
      <w:r w:rsidRPr="009F0BD1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>Executivo – Iniciativa</w:t>
      </w:r>
      <w:r w:rsidRPr="009F0BD1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da Casa Legislativa concorrente com a do Prefeito Municipal, de tal arte que o pedido não pode ser acolhido com esse fundamento</w:t>
      </w:r>
      <w:r w:rsidRPr="009F0BD1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– INCONSTITUCIONALIDADE, todavia, do § 2º, do art. 1º, da Lei 3.629/2019, que impõe ao Poder Executivo, por seus órgãos, seja a placa "afixada no centro do imóvel, numa distância máxima de quatro metros do recuo/meio-fio e terá o tamanho mínimo de 30 cm de altura e 50 centímetros de largura" – Norma imperativa do exercício de atividades puramente administrativas, e é exigente da forma, tamanho e localização das placas, atividades a serem exercidas pelos órgãos da administração – Violação dos princípios da separação de poderes e da chamada reserva da administração (arts. 5º, 24, § 2º, 2; 47, II, XIV e XIX "a", da Constituição do Estado) – Inconstitucionalidade declarada. Ação julgada parcialmente procedente. (TJSP;</w:t>
      </w:r>
      <w:r w:rsidRPr="009F0BD1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 </w:t>
      </w:r>
      <w:r w:rsidRPr="009F0BD1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Direta de Inconstitucionalidade 2300284-03.2020.8.26.0000; Relator (a): João Carlos </w:t>
      </w:r>
      <w:r w:rsidRPr="009F0BD1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Saletti</w:t>
      </w:r>
      <w:r w:rsidRPr="009F0BD1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; Órgão Julgador: Órgão Especial; Tribunal de Justiça de São Paulo - N/A; Data do Julgamento: 13/10/2021; Data de Registro: 10/11/2021)</w:t>
      </w:r>
      <w:r w:rsidR="00611960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.</w:t>
      </w:r>
      <w:r w:rsidRPr="00611960" w:rsidR="00611960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11960">
        <w:rPr>
          <w:rFonts w:asciiTheme="minorHAnsi" w:hAnsiTheme="minorHAnsi"/>
          <w:sz w:val="22"/>
          <w:szCs w:val="22"/>
          <w:shd w:val="clear" w:color="auto" w:fill="FFFFFF"/>
        </w:rPr>
        <w:t>Grifo nosso.</w:t>
      </w:r>
    </w:p>
    <w:p w:rsidR="008C1FEC" w:rsidRPr="004F49B7" w:rsidP="008C1FEC">
      <w:pPr>
        <w:pStyle w:val="Default"/>
        <w:pBdr>
          <w:bottom w:val="single" w:sz="12" w:space="1" w:color="auto"/>
        </w:pBdr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FF0000"/>
          <w:sz w:val="22"/>
          <w:szCs w:val="22"/>
          <w:shd w:val="clear" w:color="auto" w:fill="FFFFFF"/>
        </w:rPr>
      </w:pPr>
    </w:p>
    <w:p w:rsidR="00A0693C" w:rsidRPr="00C44E86" w:rsidP="00A0693C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</w:pP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"AÇÃO DIRETA DE INCONSTITUCIONALIDADE – Município de Andradina – Lei nº 3.682, de 13-7-2020, de </w:t>
      </w:r>
      <w:r w:rsidRPr="00C44E86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>origem parlamentar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, que 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u w:val="single"/>
          <w:shd w:val="clear" w:color="auto" w:fill="FFFFFF"/>
        </w:rPr>
        <w:t>'Dispõe sobre a obrigatoriedade de afixação de placa informativa em obra pública municipal paralisada contendo, de forma resumida, a exposição dos motivos de interrupção'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– Alegada violação aos princípios da separação entre os Poderes e da reserva da administração. 1 – </w:t>
      </w:r>
      <w:r w:rsidRPr="00C44E86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 xml:space="preserve">Lei que obriga a Administração Pública a assegurar a transparência governamental, permitindo o acesso da população a informações básicas sobre os motivos pelos </w:t>
      </w:r>
      <w:r w:rsidRPr="00C44E86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>quais determinada</w:t>
      </w:r>
      <w:r w:rsidRPr="00C44E86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 xml:space="preserve"> obra pública fora paralisada, está amparada no princípio constitucional da publicidade dos atos estatais, previsto no art. 111, caput, da CE/89, reprodução do art. 37, caput, da CF/88. A indisponibilidade do interesse público obriga a transparência na atividade administrativa, já que interessa à coletividade informações mínimas sobre serviços públicos e sobre o uso do dinheiro público, pelo administrador. É modo de concretizar o princípio da transparência administrativa. Constitucionalidade do art. 1º e parágrafo único e art. 4º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. 2 - Inconstitucionalidade formal e 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material. Atividade legislativa que não se limitou a estabelecer genericamente objetivos ou diretrizes a serem adotados quanto à instituição de política pública: cria obrigações e delimita a forma e o modo de agir da Administração Pública, trata das atribuições de órgão público e determina a prática de atos administrativos materiais. Inconstitucionalidade do art. 2º e de seus parágrafos e do art. 3º e de seu parágrafo único. Violação aos arts. 5º, 24, § 2º, 2, 47, II, XIV e XIX, a'. 3 – Inconstitucionalidade material. Salvo exceções previstas constitucionalmente, a obrigação de enviar relatório detalhado à Câmara de Vereadores, ao Tribunal de Contas e ao Ministério Público, no prazo de trinta dias, justificando os motivos da paralisação das obras, evidencia a natureza de controle externo do art. 3º e de seu parágrafo único. Ao criar mecanismo de 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controle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não previsto na Constituição, a Câmara de Vereadores violou o princípio da separação e independência entre os Poderes, art. 5º, da CE/89, na medida em que a obrigação imposta pela norma cria situação de subordinação do Poder Executivo ao Poder Legislativo. Necessidade de seguir o modelo de fiscalização estabelecido pelo sistema constitucional. 4 - Ação procedente em 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parte.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" </w:t>
      </w:r>
    </w:p>
    <w:p w:rsidR="00A0693C" w:rsidRPr="00C44E86" w:rsidP="00A0693C">
      <w:pPr>
        <w:pStyle w:val="Default"/>
        <w:pBdr>
          <w:bottom w:val="single" w:sz="12" w:space="1" w:color="auto"/>
        </w:pBdr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</w:pP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(TJSP;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 </w:t>
      </w:r>
      <w:r w:rsidRPr="00C44E86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Direta de Inconstitucionalidade 2177882-17.2020.8.26.0000; Relator (a): Carlos Bueno; Órgão Julgador: Órgão Especial; Tribunal de Justiça de São Paulo - N/A; Data do Julgamento: 24/02/2021; Data de Registro: 26/02/2021)</w:t>
      </w:r>
      <w:r w:rsidR="00611960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.</w:t>
      </w:r>
      <w:r w:rsidRPr="00611960" w:rsidR="00611960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11960">
        <w:rPr>
          <w:rFonts w:asciiTheme="minorHAnsi" w:hAnsiTheme="minorHAnsi"/>
          <w:sz w:val="22"/>
          <w:szCs w:val="22"/>
          <w:shd w:val="clear" w:color="auto" w:fill="FFFFFF"/>
        </w:rPr>
        <w:t>Grifo nosso.</w:t>
      </w:r>
    </w:p>
    <w:p w:rsidR="00A0693C" w:rsidRPr="00C44E86" w:rsidP="00B031D3">
      <w:pPr>
        <w:pStyle w:val="Default"/>
        <w:tabs>
          <w:tab w:val="left" w:pos="1701"/>
        </w:tabs>
        <w:spacing w:after="24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7A481F" w:rsidRPr="002001CC" w:rsidP="008C1FEC">
      <w:pPr>
        <w:pStyle w:val="Default"/>
        <w:tabs>
          <w:tab w:val="left" w:pos="1701"/>
        </w:tabs>
        <w:spacing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>*AÇÃO DIRETA DE INCONSTITUCIONALIDADE Lei nº 1.808, de 29 de novembro de 2019, do Município de Taquarituba, de iniciativa parlamentar com integral veto do Prefeito, que determinou a publicização na internet de lista de espera de agendamentos de consultas/exames na rede municipal de saúde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-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Alegação de usurpação da competência privativa do Poder Executivo, violando a separação os poderes -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VÍCIO DE INICIATIVA Projeto apresentado por parlamentar direcionado à obrigatoriedade do Poder Executivo de providenciar divulgação de listagens de pacientes que aguardam consultas com médicos especialistas da rede municipal -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Não ocorrência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Lei objurgada que disciplina interesse local dentro da competência suplementar autorizada na forma do artigo 30, incisos I e II, da Constituição Federal, antes a preexistência da Lei Federal nº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8.080/90 que suplanta a exigência do inciso XII do artigo 24 da Carta Maior Situação, ainda, que há convergência com as Leis Federais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>nºs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12.527/2011 (acesso à informação) e 12.965/2014 (marco civil na internet)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- Possibilidade de iniciativa de projetos de lei nessa matéria por parte de integrante do Poder Legislativo, conforme Tema 917 em repercussão geral no S.T.F. Lei impugnada que se limita a prever a divulgação das listagens sem, contudo, interferir na gestão administrativa do Poder 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>Executivo Inconstitucionalidade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inexistente -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>Ação julgada improcedente.*</w:t>
      </w:r>
    </w:p>
    <w:p w:rsidR="007A481F" w:rsidRPr="002001CC" w:rsidP="008C1FEC">
      <w:pPr>
        <w:pStyle w:val="Default"/>
        <w:pBdr>
          <w:bottom w:val="single" w:sz="12" w:space="1" w:color="auto"/>
        </w:pBdr>
        <w:tabs>
          <w:tab w:val="left" w:pos="1701"/>
        </w:tabs>
        <w:spacing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(TJSP. ADIN nº 2035166-64.2020.8.26.0000. Rel. Des. JACOB VALENTE. Data do julgamento: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>24/02/2021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Pr="002001CC" w:rsidR="00611960">
        <w:rPr>
          <w:rFonts w:asciiTheme="minorHAnsi" w:hAnsiTheme="minorHAnsi"/>
          <w:sz w:val="22"/>
          <w:szCs w:val="22"/>
          <w:shd w:val="clear" w:color="auto" w:fill="FFFFFF"/>
        </w:rPr>
        <w:t xml:space="preserve"> Grifo nosso.</w:t>
      </w:r>
    </w:p>
    <w:p w:rsidR="008C1FEC" w:rsidRPr="00C44E86" w:rsidP="008C1FEC">
      <w:pPr>
        <w:pStyle w:val="Default"/>
        <w:pBdr>
          <w:bottom w:val="single" w:sz="12" w:space="1" w:color="auto"/>
        </w:pBdr>
        <w:tabs>
          <w:tab w:val="left" w:pos="1701"/>
        </w:tabs>
        <w:spacing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12"/>
          <w:szCs w:val="12"/>
        </w:rPr>
      </w:pPr>
    </w:p>
    <w:p w:rsidR="008C1FEC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4"/>
          <w:szCs w:val="4"/>
        </w:rPr>
      </w:pPr>
    </w:p>
    <w:p w:rsidR="009F0BD1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4"/>
          <w:szCs w:val="4"/>
        </w:rPr>
      </w:pPr>
    </w:p>
    <w:p w:rsidR="00C44E86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4"/>
          <w:szCs w:val="4"/>
        </w:rPr>
      </w:pPr>
    </w:p>
    <w:p w:rsidR="00C44E86" w:rsidRPr="00C44E86" w:rsidP="00573CED">
      <w:pPr>
        <w:pStyle w:val="Default"/>
        <w:pBdr>
          <w:bottom w:val="single" w:sz="12" w:space="1" w:color="auto"/>
        </w:pBdr>
        <w:tabs>
          <w:tab w:val="left" w:pos="2977"/>
        </w:tabs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3"/>
          <w:szCs w:val="23"/>
        </w:rPr>
      </w:pP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Ação direta de inconstitucionalidade. Lei nº 13.772, de 27 de abril de 2016 do município de Ribeirão Preto.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Indicação dos nomes do arquiteto e do engenheiro responsável pelas obras nas placas de inauguração. Iniciativa legislativa de vereador. Não configurada violação a iniciativa reservada do Chefe do Executivo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. Hipóteses taxativas. Suplementação de legislação federal e estadual constitucionalmente autorizada.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Princípio da publicidade e direito à informação sobre obras públicas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>. Ausência de violação à separação dos poderes. Ação julgada improcedente. (TJSP – ADI nº 2157298-65.2016.8.26.0000. Relator Márcio Bartoli. Data do julgamento: 22/02/2017).</w:t>
      </w:r>
      <w:r w:rsidRPr="00611960" w:rsidR="00611960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11960">
        <w:rPr>
          <w:rFonts w:asciiTheme="minorHAnsi" w:hAnsiTheme="minorHAnsi"/>
          <w:sz w:val="22"/>
          <w:szCs w:val="22"/>
          <w:shd w:val="clear" w:color="auto" w:fill="FFFFFF"/>
        </w:rPr>
        <w:t>Grifo nosso.</w:t>
      </w:r>
    </w:p>
    <w:p w:rsidR="00573CED" w:rsidRPr="002001CC" w:rsidP="00C44E86">
      <w:pPr>
        <w:pStyle w:val="Default"/>
        <w:tabs>
          <w:tab w:val="left" w:pos="2977"/>
        </w:tabs>
        <w:spacing w:after="24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C44E86" w:rsidRPr="002001CC" w:rsidP="002001CC">
      <w:pPr>
        <w:pStyle w:val="Default"/>
        <w:tabs>
          <w:tab w:val="left" w:pos="2977"/>
        </w:tabs>
        <w:spacing w:after="24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Ação direta de inconstitucionalidade – Lei nº 2.845, de 26 de maio de 2004, do município de Santa Bárbara D'Oeste, que dispõe sobre a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>divulgação de custos de veiculação de publicidade da Administração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>Vício de iniciativa inexistente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Medida que promove a transparência dos gastos públicos e que não se insere no âmbito de atos da Administração de iniciativa privativa do Chefe do Executivo. </w:t>
      </w:r>
      <w:r w:rsidRPr="002001CC">
        <w:rPr>
          <w:rFonts w:asciiTheme="minorHAnsi" w:hAnsiTheme="minorHAnsi" w:cstheme="minorHAnsi"/>
          <w:b/>
          <w:i/>
          <w:color w:val="auto"/>
          <w:sz w:val="22"/>
          <w:szCs w:val="22"/>
        </w:rPr>
        <w:t>Iniciativa parlamentar que se harmoniza com a publicidade dos atos estatais e com os princípios constitucionais de moralidade e impessoalidade e transparência. Ação julgada improcedente.</w:t>
      </w:r>
      <w:r w:rsidRPr="002001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(TJSP – ADI nº 0024762-32.2013.8.26.0000. Relator Ferreira Rodrigues. Data: 23/04/2014).</w:t>
      </w:r>
      <w:r w:rsidRPr="002001CC" w:rsidR="00611960">
        <w:rPr>
          <w:rFonts w:asciiTheme="minorHAnsi" w:hAnsiTheme="minorHAnsi"/>
          <w:sz w:val="22"/>
          <w:szCs w:val="22"/>
          <w:shd w:val="clear" w:color="auto" w:fill="FFFFFF"/>
        </w:rPr>
        <w:t xml:space="preserve"> Grifo nosso.</w:t>
      </w:r>
    </w:p>
    <w:p w:rsid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FF0000"/>
          <w:sz w:val="4"/>
          <w:szCs w:val="4"/>
        </w:rPr>
      </w:pPr>
    </w:p>
    <w:p w:rsidR="009F0BD1" w:rsidRPr="004044B3" w:rsidP="004044B3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9F0BD1">
        <w:rPr>
          <w:rFonts w:asciiTheme="minorHAnsi" w:hAnsiTheme="minorHAnsi" w:cstheme="minorHAnsi"/>
          <w:color w:val="auto"/>
        </w:rPr>
        <w:t>Nessa senda,</w:t>
      </w:r>
      <w:r w:rsidRPr="009F0BD1">
        <w:rPr>
          <w:rFonts w:asciiTheme="minorHAnsi" w:hAnsiTheme="minorHAnsi" w:cstheme="minorHAnsi"/>
          <w:b/>
          <w:i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 E. Corte Paulista,</w:t>
      </w:r>
      <w:r w:rsidRPr="009F0BD1">
        <w:rPr>
          <w:rFonts w:asciiTheme="minorHAnsi" w:hAnsiTheme="minorHAnsi" w:cstheme="minorHAnsi"/>
          <w:color w:val="auto"/>
        </w:rPr>
        <w:t xml:space="preserve"> inclusive por ocasião da análise de </w:t>
      </w:r>
      <w:r>
        <w:rPr>
          <w:rFonts w:asciiTheme="minorHAnsi" w:hAnsiTheme="minorHAnsi" w:cstheme="minorHAnsi"/>
          <w:color w:val="auto"/>
        </w:rPr>
        <w:t>leis do Município de Valinhos ob</w:t>
      </w:r>
      <w:r w:rsidR="00C44E86">
        <w:rPr>
          <w:rFonts w:asciiTheme="minorHAnsi" w:hAnsiTheme="minorHAnsi" w:cstheme="minorHAnsi"/>
          <w:color w:val="auto"/>
        </w:rPr>
        <w:t>temperou</w:t>
      </w:r>
      <w:r>
        <w:rPr>
          <w:rFonts w:asciiTheme="minorHAnsi" w:hAnsiTheme="minorHAnsi" w:cstheme="minorHAnsi"/>
          <w:color w:val="auto"/>
        </w:rPr>
        <w:t>:</w:t>
      </w:r>
    </w:p>
    <w:p w:rsidR="009F0BD1" w:rsidRPr="004F49B7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FF0000"/>
          <w:sz w:val="4"/>
          <w:szCs w:val="4"/>
        </w:rPr>
      </w:pPr>
    </w:p>
    <w:p w:rsidR="00BC0C7F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3"/>
          <w:szCs w:val="23"/>
        </w:rPr>
      </w:pP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AÇÃO DIRETA DE INCONSTITUCIONALIDADE.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  <w:u w:val="single"/>
        </w:rPr>
        <w:t xml:space="preserve">Lei n. 5.919, de 25 de outubro de 2019, do Município de Valinhos,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que dispõe sobre a garantia da divulgação, no site oficial da Prefeitura Municipal de Valinhos, da ficha de manutenção dos veículos oficiais da Administração Direta e Indireta. </w:t>
      </w:r>
    </w:p>
    <w:p w:rsidR="00BC0C7F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3"/>
          <w:szCs w:val="23"/>
        </w:rPr>
      </w:pP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I. AUSÊNCIA DE PARAMETRICIDADE. Controle abstrato de constitucionalidade que somente pode se fundar na Constituição Estadual. Análise restrita aos dispositivos constitucionais invocados. </w:t>
      </w:r>
    </w:p>
    <w:p w:rsidR="00BC0C7F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3"/>
          <w:szCs w:val="23"/>
        </w:rPr>
      </w:pP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II. INOCORRÊNCIA DE VÍCIO DE INICIATIVA E DE USURPAÇÃO DE MATÉRIA INSERIDA NA RESERVA DA ADMINISTRAÇÃO. DEVER DE TRANSPARÊNCIA.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 Imposição genérica à Municipalidade da obrigação de divulgar a ficha de manutenção dos veículos oficiais da Administração Direta e Indireta. Poder de suplementar a legislação federal e estadual, dando cumprimento ao princípio da publicidade e ao dever de transparência na Administração Pública. </w:t>
      </w:r>
    </w:p>
    <w:p w:rsidR="00BC0C7F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3"/>
          <w:szCs w:val="23"/>
        </w:rPr>
      </w:pP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III. INEXISTÊNCIA DE VÍCIO DECORRENTE DA AUSÊNCIA DA PREVISÃO DA FONTE DE CUSTEIO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. Precedentes. </w:t>
      </w:r>
    </w:p>
    <w:p w:rsidR="00BC0C7F" w:rsidRPr="00C44E86" w:rsidP="008C1FE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3"/>
          <w:szCs w:val="23"/>
        </w:rPr>
      </w:pP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Ação julgada improcedente, revogada a liminar concedida. 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(TJSP. ADI nº 2286685-31.2019.8.26.0000. Relator Des. MOACIR PERES.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Data de julgamento: 28/10/2020).</w:t>
      </w:r>
      <w:r w:rsidRPr="00611960" w:rsidR="00611960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11960">
        <w:rPr>
          <w:rFonts w:asciiTheme="minorHAnsi" w:hAnsiTheme="minorHAnsi"/>
          <w:sz w:val="22"/>
          <w:szCs w:val="22"/>
          <w:shd w:val="clear" w:color="auto" w:fill="FFFFFF"/>
        </w:rPr>
        <w:t>Grifo nosso.</w:t>
      </w:r>
    </w:p>
    <w:p w:rsidR="00BC0C7F" w:rsidRPr="00C44E86" w:rsidP="00B031D3">
      <w:pPr>
        <w:pStyle w:val="Default"/>
        <w:tabs>
          <w:tab w:val="left" w:pos="1701"/>
        </w:tabs>
        <w:spacing w:after="24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3"/>
          <w:szCs w:val="23"/>
        </w:rPr>
      </w:pP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____________________________________________________</w:t>
      </w:r>
    </w:p>
    <w:p w:rsidR="00BC0C7F" w:rsidRPr="004F49B7" w:rsidP="002001CC">
      <w:pPr>
        <w:pStyle w:val="Default"/>
        <w:pBdr>
          <w:bottom w:val="single" w:sz="12" w:space="1" w:color="auto"/>
        </w:pBdr>
        <w:tabs>
          <w:tab w:val="left" w:pos="1701"/>
        </w:tabs>
        <w:spacing w:after="240" w:line="300" w:lineRule="auto"/>
        <w:ind w:left="2268"/>
        <w:jc w:val="both"/>
        <w:rPr>
          <w:rFonts w:asciiTheme="minorHAnsi" w:hAnsiTheme="minorHAnsi" w:cstheme="minorHAnsi"/>
          <w:i/>
          <w:color w:val="FF0000"/>
          <w:sz w:val="4"/>
          <w:szCs w:val="4"/>
        </w:rPr>
      </w:pP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Ação direta de inconstitucionalidade.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  <w:u w:val="single"/>
        </w:rPr>
        <w:t>Valinhos. Lei Municipal n. 5.883, de 14 de agosto de 2019,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que “Assegura o acesso às informações e o detalhamento sobre dívidas flutuantes, fundadas ou consolidadas da Administração Pública direta e indireta na forma que especifica”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. Inépcia da petição inicial. Não ocorrência. Documentação coligida que é suficiente para o conhecimento do 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pedido e atende às disposições do art. 3º da Lei n. 9.868/99. Parametricidade. Contraste entre lei ordinária 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>municipal e dispositivos constantes da Constituição da República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 que não sejam de reprodução obrigatória, da Lei Orgânica Municipal e da Lei de Responsabilidade Fiscal. Inadmissibilidade. Inteligência dos arts. 125, § 2º, da Constituição Federal, e 74, 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>VI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, da Constituição Paulista.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  <w:u w:val="single"/>
        </w:rPr>
        <w:t xml:space="preserve">Lei local que dispôs sobre matéria cuja iniciativa não é reservada ao Chefe do Poder Executivo, tampouco se encontra na reserva da Administração. Concretização do princípio da publicidade, ao qual estão jungidos todos os entes federativos. Inconstitucionalidade não caracterizada. 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Precedentes do Supremo Tribunal Federal e deste Órgão Especial.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Ação improcedente.</w:t>
      </w:r>
      <w:r w:rsidRPr="00C44E86" w:rsidR="008C1FEC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C44E86">
        <w:rPr>
          <w:rFonts w:asciiTheme="minorHAnsi" w:hAnsiTheme="minorHAnsi" w:cstheme="minorHAnsi"/>
          <w:i/>
          <w:color w:val="auto"/>
          <w:sz w:val="23"/>
          <w:szCs w:val="23"/>
        </w:rPr>
        <w:t xml:space="preserve">(TJSP. ADI nº º 2286704-37.2019.8.26.0000. Relator Des. ANTONIO CELSO AGUILAR CORTEZ. </w:t>
      </w:r>
      <w:r w:rsidRPr="00C44E86">
        <w:rPr>
          <w:rFonts w:asciiTheme="minorHAnsi" w:hAnsiTheme="minorHAnsi" w:cstheme="minorHAnsi"/>
          <w:b/>
          <w:i/>
          <w:color w:val="auto"/>
          <w:sz w:val="23"/>
          <w:szCs w:val="23"/>
        </w:rPr>
        <w:t>Data de Julgamento: 05/08/2020).</w:t>
      </w:r>
      <w:r w:rsidRPr="00611960" w:rsidR="00611960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11960">
        <w:rPr>
          <w:rFonts w:asciiTheme="minorHAnsi" w:hAnsiTheme="minorHAnsi"/>
          <w:sz w:val="22"/>
          <w:szCs w:val="22"/>
          <w:shd w:val="clear" w:color="auto" w:fill="FFFFFF"/>
        </w:rPr>
        <w:t>Grifo nosso.</w:t>
      </w:r>
    </w:p>
    <w:p w:rsidR="0039541F" w:rsidRPr="00AC02A0" w:rsidP="0039541F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Theme="minorHAnsi" w:hAnsiTheme="minorHAnsi" w:cstheme="minorHAnsi"/>
          <w:b/>
          <w:color w:val="auto"/>
        </w:rPr>
      </w:pPr>
      <w:r w:rsidRPr="00AC02A0">
        <w:rPr>
          <w:rFonts w:asciiTheme="minorHAnsi" w:hAnsiTheme="minorHAnsi" w:cstheme="minorHAnsi"/>
          <w:b/>
          <w:color w:val="auto"/>
        </w:rPr>
        <w:t>Adent</w:t>
      </w:r>
      <w:r w:rsidRPr="00AC02A0" w:rsidR="00AC02A0">
        <w:rPr>
          <w:rFonts w:asciiTheme="minorHAnsi" w:hAnsiTheme="minorHAnsi" w:cstheme="minorHAnsi"/>
          <w:b/>
          <w:color w:val="auto"/>
        </w:rPr>
        <w:t>r</w:t>
      </w:r>
      <w:r w:rsidRPr="00AC02A0">
        <w:rPr>
          <w:rFonts w:asciiTheme="minorHAnsi" w:hAnsiTheme="minorHAnsi" w:cstheme="minorHAnsi"/>
          <w:b/>
          <w:color w:val="auto"/>
        </w:rPr>
        <w:t>ando especificamente na tem</w:t>
      </w:r>
      <w:r w:rsidRPr="00AC02A0" w:rsidR="00A75D0A">
        <w:rPr>
          <w:rFonts w:asciiTheme="minorHAnsi" w:hAnsiTheme="minorHAnsi" w:cstheme="minorHAnsi"/>
          <w:b/>
          <w:color w:val="auto"/>
        </w:rPr>
        <w:t>ática da publicação do currículo profissional dos ocupantes de cargos em comissão,</w:t>
      </w:r>
      <w:r w:rsidRPr="00AC02A0" w:rsidR="007E676D">
        <w:rPr>
          <w:rFonts w:asciiTheme="minorHAnsi" w:hAnsiTheme="minorHAnsi" w:cstheme="minorHAnsi"/>
          <w:b/>
          <w:color w:val="auto"/>
        </w:rPr>
        <w:t xml:space="preserve"> </w:t>
      </w:r>
      <w:r w:rsidRPr="00AC02A0" w:rsidR="00A75D0A">
        <w:rPr>
          <w:rFonts w:asciiTheme="minorHAnsi" w:hAnsiTheme="minorHAnsi" w:cstheme="minorHAnsi"/>
          <w:b/>
          <w:color w:val="auto"/>
        </w:rPr>
        <w:t xml:space="preserve">segue entendimento </w:t>
      </w:r>
      <w:r w:rsidRPr="00AC02A0" w:rsidR="00D97E13">
        <w:rPr>
          <w:rFonts w:asciiTheme="minorHAnsi" w:hAnsiTheme="minorHAnsi" w:cstheme="minorHAnsi"/>
          <w:b/>
          <w:color w:val="auto"/>
        </w:rPr>
        <w:t xml:space="preserve">recente </w:t>
      </w:r>
      <w:r w:rsidRPr="00AC02A0" w:rsidR="00A75D0A">
        <w:rPr>
          <w:rFonts w:asciiTheme="minorHAnsi" w:hAnsiTheme="minorHAnsi" w:cstheme="minorHAnsi"/>
          <w:b/>
          <w:color w:val="auto"/>
        </w:rPr>
        <w:t>firmado</w:t>
      </w:r>
      <w:r w:rsidRPr="00AC02A0" w:rsidR="00D97E13">
        <w:rPr>
          <w:rFonts w:asciiTheme="minorHAnsi" w:hAnsiTheme="minorHAnsi" w:cstheme="minorHAnsi"/>
          <w:b/>
          <w:color w:val="auto"/>
        </w:rPr>
        <w:t xml:space="preserve"> no âmbito do</w:t>
      </w:r>
      <w:r w:rsidRPr="00AC02A0" w:rsidR="00A75D0A">
        <w:rPr>
          <w:rFonts w:asciiTheme="minorHAnsi" w:hAnsiTheme="minorHAnsi" w:cstheme="minorHAnsi"/>
          <w:b/>
          <w:color w:val="auto"/>
        </w:rPr>
        <w:t xml:space="preserve"> Tribunal </w:t>
      </w:r>
      <w:r w:rsidRPr="00AC02A0" w:rsidR="00872C27">
        <w:rPr>
          <w:rFonts w:asciiTheme="minorHAnsi" w:hAnsiTheme="minorHAnsi" w:cstheme="minorHAnsi"/>
          <w:b/>
          <w:color w:val="auto"/>
        </w:rPr>
        <w:t xml:space="preserve">de Justiça </w:t>
      </w:r>
      <w:r w:rsidR="00AC02A0">
        <w:rPr>
          <w:rFonts w:asciiTheme="minorHAnsi" w:hAnsiTheme="minorHAnsi" w:cstheme="minorHAnsi"/>
          <w:b/>
          <w:color w:val="auto"/>
        </w:rPr>
        <w:t xml:space="preserve">Paulista </w:t>
      </w:r>
      <w:r w:rsidR="00D37CD9">
        <w:rPr>
          <w:rFonts w:asciiTheme="minorHAnsi" w:hAnsiTheme="minorHAnsi" w:cstheme="minorHAnsi"/>
          <w:b/>
          <w:color w:val="auto"/>
        </w:rPr>
        <w:t xml:space="preserve">acostado </w:t>
      </w:r>
      <w:r w:rsidR="00AC02A0">
        <w:rPr>
          <w:rFonts w:asciiTheme="minorHAnsi" w:hAnsiTheme="minorHAnsi" w:cstheme="minorHAnsi"/>
          <w:b/>
          <w:color w:val="auto"/>
        </w:rPr>
        <w:t>na justificativa da propositura:</w:t>
      </w:r>
    </w:p>
    <w:p w:rsidR="002001CC" w:rsidP="002001CC">
      <w:pPr>
        <w:pStyle w:val="Default"/>
        <w:tabs>
          <w:tab w:val="left" w:pos="1701"/>
        </w:tabs>
        <w:spacing w:after="120" w:line="300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2001CC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VOTO Nº 37124 AÇÃO DIRETA DE INCONSTITUCIONALIDADE.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Lei Municipal de Itatinga n.º 2.427/22, que dispõe sobre a publicação do currículo de todos os ocupantes de cargos em comissão do Poder Executivo. Transparência. Direito de informação. Exegese do art. 5º, inc. XXXIII, da CF. Vício de iniciativa e violação à separação de Poderes. Inocorrência.</w:t>
      </w:r>
      <w:r w:rsidRPr="002001CC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Assunto de interesse local, corolário dos princípios da impessoalidade, da moralidade, da publicidade e da eficiência.</w:t>
      </w:r>
      <w:r w:rsidRPr="002001CC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Inteligência dos arts.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30, inc.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I, e 37, caput, da CF.</w:t>
      </w:r>
      <w:r w:rsidRPr="002001CC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Violação à reserva da Administração. Inocorrência. Exegese do art. 47, inc. II, da CE. Dever de divulgação de informações de interesse coletivo ou geral dos órgãos e entidades públicas em sítios oficiais da rede mundial de computadores.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Inteligência dos arts.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8º, caput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e § 2º, e 45, da Lei de Acesso à informação</w:t>
      </w:r>
      <w:r w:rsidRPr="002001CC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.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Violação ao direito à intimidade. Inocorrência. Informações que constam do ato (público)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de nomeação ou dizem respeito estritamente à qualificação profissional dos servidores em comissão. Doutrina. Texto que não dispõe sobre a estrutura ou a atribuição dos órgãos da Administração, tampouco sobre o regime jurídico de servidores públicos. STF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, ARE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878.911-RJ, com repercussão geral.</w:t>
      </w:r>
      <w:r w:rsidRPr="002001CC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Ademais, inexistência de dotação orçamentária que somente conduz à ineficácia do texto no respectivo exercício financeiro. Precedentes do C. STF. Inconstitucionalidade. Inocorrência. Precedentes deste C. Órgão Especial. </w:t>
      </w:r>
      <w:r w:rsidRPr="002001C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Pedido improcedente.</w:t>
      </w:r>
      <w:r w:rsidRPr="002001CC">
        <w:rPr>
          <w:rFonts w:asciiTheme="minorHAnsi" w:hAnsiTheme="minorHAnsi"/>
          <w:i/>
          <w:sz w:val="22"/>
          <w:szCs w:val="22"/>
          <w:shd w:val="clear" w:color="auto" w:fill="FFFFFF"/>
        </w:rPr>
        <w:t> </w:t>
      </w:r>
    </w:p>
    <w:p w:rsidR="00D97E13" w:rsidRPr="002001CC" w:rsidP="002001CC">
      <w:pPr>
        <w:pStyle w:val="Default"/>
        <w:tabs>
          <w:tab w:val="left" w:pos="1701"/>
        </w:tabs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2001CC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2001CC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2001CC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2140466-44.2022.8.26.0000; Relator (a): Tasso Duarte de Melo; Órgão Julgador: Órgão Especial; Tribunal de Justiça de São Paulo - N/A; Data do Julgamento: 09/11/2022; Data de Registro: 16/11/2022)</w:t>
      </w:r>
      <w:r w:rsidRPr="002001CC" w:rsidR="00611960">
        <w:rPr>
          <w:rFonts w:asciiTheme="minorHAnsi" w:hAnsiTheme="minorHAnsi"/>
          <w:i/>
          <w:sz w:val="20"/>
          <w:szCs w:val="20"/>
          <w:shd w:val="clear" w:color="auto" w:fill="FFFFFF"/>
        </w:rPr>
        <w:t>. Grifo nosso.</w:t>
      </w:r>
    </w:p>
    <w:p w:rsidR="00660E82" w:rsidRPr="002001CC" w:rsidP="0039541F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  <w:sz w:val="4"/>
          <w:szCs w:val="4"/>
        </w:rPr>
      </w:pPr>
    </w:p>
    <w:p w:rsidR="00752210" w:rsidP="0039541F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Desse modo, extrai-se que a questão é de incremento n</w:t>
      </w:r>
      <w:r w:rsidRPr="00752210" w:rsidR="002E35AD">
        <w:rPr>
          <w:rFonts w:asciiTheme="minorHAnsi" w:hAnsiTheme="minorHAnsi" w:cstheme="minorHAnsi"/>
          <w:color w:val="auto"/>
        </w:rPr>
        <w:t>os níveis de transparência administrativa, permitindo à população o conhecimento sobre</w:t>
      </w:r>
      <w:r w:rsidR="00EC68DF">
        <w:rPr>
          <w:rFonts w:asciiTheme="minorHAnsi" w:hAnsiTheme="minorHAnsi" w:cstheme="minorHAnsi"/>
          <w:color w:val="auto"/>
        </w:rPr>
        <w:t xml:space="preserve"> os servidores nomeados para exercer cargos </w:t>
      </w:r>
      <w:r>
        <w:rPr>
          <w:rFonts w:asciiTheme="minorHAnsi" w:hAnsiTheme="minorHAnsi" w:cstheme="minorHAnsi"/>
          <w:color w:val="auto"/>
        </w:rPr>
        <w:t xml:space="preserve">comissão. </w:t>
      </w:r>
    </w:p>
    <w:p w:rsidR="00BC0C7F" w:rsidRPr="00752210" w:rsidP="00752210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  <w:lang w:eastAsia="x-none"/>
        </w:rPr>
      </w:pPr>
      <w:r w:rsidRPr="00752210">
        <w:rPr>
          <w:rFonts w:asciiTheme="minorHAnsi" w:hAnsiTheme="minorHAnsi" w:cstheme="minorHAnsi"/>
          <w:color w:val="auto"/>
          <w:lang w:eastAsia="x-none"/>
        </w:rPr>
        <w:t xml:space="preserve">Por fim, quanto ao aspecto gramatical e lógico, </w:t>
      </w:r>
      <w:r w:rsidRPr="00752210" w:rsidR="002E35AD">
        <w:rPr>
          <w:rFonts w:asciiTheme="minorHAnsi" w:hAnsiTheme="minorHAnsi" w:cstheme="minorHAnsi"/>
          <w:color w:val="auto"/>
          <w:lang w:eastAsia="x-none"/>
        </w:rPr>
        <w:t xml:space="preserve">o projeto atende aos preceitos </w:t>
      </w:r>
      <w:r w:rsidRPr="00752210">
        <w:rPr>
          <w:rFonts w:asciiTheme="minorHAnsi" w:hAnsiTheme="minorHAnsi" w:cstheme="minorHAnsi"/>
          <w:color w:val="auto"/>
          <w:lang w:eastAsia="x-none"/>
        </w:rPr>
        <w:t>da Lei Complementar nº 95 de 1998</w:t>
      </w:r>
      <w:r w:rsidRPr="00752210">
        <w:rPr>
          <w:rFonts w:asciiTheme="minorHAnsi" w:hAnsiTheme="minorHAnsi" w:cstheme="minorHAnsi"/>
          <w:color w:val="auto"/>
          <w:lang w:eastAsia="x-none"/>
        </w:rPr>
        <w:t>,</w:t>
      </w:r>
      <w:r w:rsidRPr="00752210">
        <w:rPr>
          <w:rFonts w:asciiTheme="minorHAnsi" w:hAnsiTheme="minorHAnsi" w:cstheme="minorHAnsi"/>
          <w:color w:val="auto"/>
          <w:lang w:eastAsia="x-none"/>
        </w:rPr>
        <w:t xml:space="preserve"> que dispõe sobre a elaboração, redação, alteração e consolidação das leis, consoante determina o parágrafo único do </w:t>
      </w:r>
      <w:r w:rsidRPr="00752210">
        <w:rPr>
          <w:rFonts w:asciiTheme="minorHAnsi" w:hAnsiTheme="minorHAnsi" w:cstheme="minorHAnsi"/>
          <w:color w:val="auto"/>
          <w:lang w:eastAsia="x-none"/>
        </w:rPr>
        <w:t>art. 59 da Constituição Federal.</w:t>
      </w:r>
    </w:p>
    <w:p w:rsidR="00BC0C7F" w:rsidRPr="00752210" w:rsidP="00BC0C7F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Theme="minorHAnsi" w:hAnsiTheme="minorHAnsi" w:cstheme="minorHAnsi"/>
          <w:b/>
          <w:szCs w:val="24"/>
          <w:lang w:eastAsia="x-none"/>
        </w:rPr>
      </w:pPr>
      <w:r w:rsidRPr="00752210">
        <w:rPr>
          <w:rFonts w:asciiTheme="minorHAnsi" w:hAnsiTheme="minorHAnsi" w:cstheme="minorHAnsi"/>
          <w:szCs w:val="24"/>
          <w:lang w:eastAsia="x-none"/>
        </w:rPr>
        <w:t xml:space="preserve">Ante todo o exposto, </w:t>
      </w:r>
      <w:r w:rsidRPr="00752210" w:rsidR="00AE59C1">
        <w:rPr>
          <w:rFonts w:asciiTheme="minorHAnsi" w:hAnsiTheme="minorHAnsi" w:cstheme="minorHAnsi"/>
          <w:szCs w:val="24"/>
          <w:lang w:eastAsia="x-none"/>
        </w:rPr>
        <w:t xml:space="preserve">opinamos pela </w:t>
      </w:r>
      <w:r w:rsidRPr="00752210">
        <w:rPr>
          <w:rFonts w:asciiTheme="minorHAnsi" w:hAnsiTheme="minorHAnsi" w:cstheme="minorHAnsi"/>
          <w:szCs w:val="24"/>
          <w:lang w:eastAsia="x-none"/>
        </w:rPr>
        <w:t>constitucionalidade e legalidade</w:t>
      </w:r>
      <w:r w:rsidRPr="00752210" w:rsidR="00AE59C1">
        <w:rPr>
          <w:rFonts w:asciiTheme="minorHAnsi" w:hAnsiTheme="minorHAnsi" w:cstheme="minorHAnsi"/>
          <w:szCs w:val="24"/>
          <w:lang w:eastAsia="x-none"/>
        </w:rPr>
        <w:t xml:space="preserve"> do projeto</w:t>
      </w:r>
      <w:r w:rsidRPr="00752210">
        <w:rPr>
          <w:rFonts w:asciiTheme="minorHAnsi" w:hAnsiTheme="minorHAnsi" w:cstheme="minorHAnsi"/>
          <w:szCs w:val="24"/>
          <w:lang w:eastAsia="x-none"/>
        </w:rPr>
        <w:t xml:space="preserve">. </w:t>
      </w:r>
      <w:r w:rsidRPr="00752210">
        <w:rPr>
          <w:rFonts w:asciiTheme="minorHAnsi" w:hAnsiTheme="minorHAnsi" w:cstheme="minorHAnsi"/>
          <w:b/>
          <w:szCs w:val="24"/>
          <w:lang w:eastAsia="x-none"/>
        </w:rPr>
        <w:t xml:space="preserve">Sobre o mérito, o Plenário </w:t>
      </w:r>
      <w:r w:rsidR="00752210">
        <w:rPr>
          <w:rFonts w:asciiTheme="minorHAnsi" w:hAnsiTheme="minorHAnsi" w:cstheme="minorHAnsi"/>
          <w:b/>
          <w:szCs w:val="24"/>
          <w:lang w:eastAsia="x-none"/>
        </w:rPr>
        <w:t xml:space="preserve">é </w:t>
      </w:r>
      <w:r w:rsidRPr="00752210">
        <w:rPr>
          <w:rFonts w:asciiTheme="minorHAnsi" w:hAnsiTheme="minorHAnsi" w:cstheme="minorHAnsi"/>
          <w:b/>
          <w:szCs w:val="24"/>
          <w:lang w:eastAsia="x-none"/>
        </w:rPr>
        <w:t>soberano.</w:t>
      </w:r>
    </w:p>
    <w:p w:rsidR="0084738E" w:rsidRPr="00B32E1D" w:rsidP="0084738E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E85A3F">
        <w:rPr>
          <w:rFonts w:asciiTheme="minorHAnsi" w:hAnsiTheme="minorHAnsi" w:cstheme="minorHAnsi"/>
          <w:szCs w:val="24"/>
        </w:rPr>
        <w:t xml:space="preserve">É o parecer, a </w:t>
      </w:r>
      <w:r w:rsidRPr="00B32E1D">
        <w:rPr>
          <w:rFonts w:asciiTheme="minorHAnsi" w:hAnsiTheme="minorHAnsi" w:cstheme="minorHAnsi"/>
          <w:szCs w:val="24"/>
        </w:rPr>
        <w:t>superior consideração.</w:t>
      </w:r>
      <w:bookmarkStart w:id="1" w:name="_GoBack"/>
      <w:bookmarkEnd w:id="1"/>
    </w:p>
    <w:p w:rsidR="0084738E" w:rsidRPr="00B32E1D" w:rsidP="0084738E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B32E1D">
        <w:rPr>
          <w:rFonts w:asciiTheme="minorHAnsi" w:hAnsiTheme="minorHAnsi" w:cstheme="minorHAnsi"/>
          <w:szCs w:val="24"/>
        </w:rPr>
        <w:t xml:space="preserve">Procuradoria, </w:t>
      </w:r>
      <w:r w:rsidRPr="00B32E1D" w:rsidR="00B32E1D">
        <w:rPr>
          <w:rFonts w:asciiTheme="minorHAnsi" w:hAnsiTheme="minorHAnsi" w:cstheme="minorHAnsi"/>
          <w:szCs w:val="24"/>
        </w:rPr>
        <w:t>09</w:t>
      </w:r>
      <w:r w:rsidRPr="00B32E1D">
        <w:rPr>
          <w:rFonts w:asciiTheme="minorHAnsi" w:hAnsiTheme="minorHAnsi" w:cstheme="minorHAnsi"/>
          <w:szCs w:val="24"/>
        </w:rPr>
        <w:t xml:space="preserve"> de </w:t>
      </w:r>
      <w:r w:rsidRPr="00B32E1D">
        <w:rPr>
          <w:rFonts w:asciiTheme="minorHAnsi" w:hAnsiTheme="minorHAnsi" w:cstheme="minorHAnsi"/>
          <w:szCs w:val="24"/>
        </w:rPr>
        <w:t>fevereiro de 2023</w:t>
      </w:r>
      <w:r w:rsidRPr="00B32E1D">
        <w:rPr>
          <w:rFonts w:asciiTheme="minorHAnsi" w:hAnsiTheme="minorHAnsi" w:cstheme="minorHAnsi"/>
          <w:szCs w:val="24"/>
        </w:rPr>
        <w:t>.</w:t>
      </w:r>
    </w:p>
    <w:p w:rsidR="002001CC" w:rsidP="002001CC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2001CC" w:rsidP="002001CC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  <w:sectPr w:rsidSect="00BC67F2">
          <w:headerReference w:type="default" r:id="rId7"/>
          <w:footerReference w:type="default" r:id="rId8"/>
          <w:type w:val="continuous"/>
          <w:pgSz w:w="11907" w:h="16840" w:code="9"/>
          <w:pgMar w:top="2552" w:right="1213" w:bottom="1134" w:left="2160" w:header="0" w:footer="0" w:gutter="0"/>
          <w:cols w:space="720"/>
          <w:docGrid w:linePitch="326"/>
        </w:sectPr>
      </w:pPr>
    </w:p>
    <w:p w:rsidR="002001CC" w:rsidRPr="00EA050A" w:rsidP="002001CC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  <w:r w:rsidRPr="00EA050A">
        <w:rPr>
          <w:rFonts w:asciiTheme="minorHAnsi" w:hAnsiTheme="minorHAnsi" w:cstheme="minorHAnsi"/>
          <w:b/>
          <w:szCs w:val="24"/>
        </w:rPr>
        <w:t>Tiago Fadel Malghosian</w:t>
      </w:r>
    </w:p>
    <w:p w:rsidR="002001CC" w:rsidRPr="00EA050A" w:rsidP="002001CC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  <w:r w:rsidRPr="00EA050A">
        <w:rPr>
          <w:rFonts w:asciiTheme="minorHAnsi" w:hAnsiTheme="minorHAnsi" w:cstheme="minorHAnsi"/>
          <w:b/>
          <w:szCs w:val="24"/>
        </w:rPr>
        <w:t>Procurador OAB/SP nº 319.159</w:t>
      </w:r>
    </w:p>
    <w:p w:rsidR="002001CC" w:rsidP="002001CC">
      <w:pPr>
        <w:tabs>
          <w:tab w:val="left" w:pos="2880"/>
        </w:tabs>
        <w:jc w:val="center"/>
        <w:rPr>
          <w:rFonts w:asciiTheme="minorHAnsi" w:hAnsiTheme="minorHAnsi" w:cstheme="minorHAnsi"/>
          <w:szCs w:val="24"/>
        </w:rPr>
      </w:pPr>
      <w:r w:rsidRPr="00EA050A">
        <w:rPr>
          <w:rFonts w:asciiTheme="minorHAnsi" w:hAnsiTheme="minorHAnsi" w:cstheme="minorHAnsi"/>
          <w:szCs w:val="24"/>
        </w:rPr>
        <w:t>Assinatura Eletrônica</w:t>
      </w:r>
    </w:p>
    <w:p w:rsidR="0084738E" w:rsidRPr="00E85A3F" w:rsidP="0084738E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:rsidR="007B3F78" w:rsidRPr="00E85A3F" w:rsidP="007B3F78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B3F78" w:rsidRPr="00E85A3F" w:rsidP="007B3F78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Procuradora - OAB/SP 308.298</w:t>
      </w:r>
    </w:p>
    <w:p w:rsidR="0084738E" w:rsidRPr="00E85A3F" w:rsidP="0084738E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szCs w:val="24"/>
        </w:rPr>
        <w:t>Assinado digitalmente</w:t>
      </w:r>
    </w:p>
    <w:p w:rsidR="002001CC" w:rsidP="0084738E">
      <w:pPr>
        <w:pStyle w:val="BodyText"/>
        <w:spacing w:after="0"/>
        <w:jc w:val="center"/>
        <w:rPr>
          <w:rFonts w:asciiTheme="minorHAnsi" w:hAnsiTheme="minorHAnsi" w:cstheme="minorHAnsi"/>
          <w:b/>
          <w:color w:val="FF0000"/>
          <w:szCs w:val="24"/>
        </w:rPr>
        <w:sectPr w:rsidSect="002001CC">
          <w:type w:val="continuous"/>
          <w:pgSz w:w="11907" w:h="16840" w:code="9"/>
          <w:pgMar w:top="2552" w:right="1213" w:bottom="1134" w:left="2160" w:header="0" w:footer="0" w:gutter="0"/>
          <w:cols w:num="2" w:space="720"/>
          <w:docGrid w:linePitch="326"/>
        </w:sectPr>
      </w:pPr>
    </w:p>
    <w:p w:rsidR="000A564E" w:rsidRPr="004F49B7" w:rsidP="002001CC">
      <w:pPr>
        <w:spacing w:after="240" w:line="360" w:lineRule="auto"/>
        <w:jc w:val="both"/>
        <w:rPr>
          <w:rFonts w:asciiTheme="minorHAnsi" w:hAnsiTheme="minorHAnsi" w:cstheme="minorHAnsi"/>
          <w:color w:val="FF0000"/>
          <w:szCs w:val="24"/>
        </w:rPr>
      </w:pPr>
    </w:p>
    <w:sectPr w:rsidSect="00BC67F2">
      <w:type w:val="continuous"/>
      <w:pgSz w:w="11907" w:h="16840" w:code="9"/>
      <w:pgMar w:top="2552" w:right="1213" w:bottom="1134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511289301"/>
      <w:docPartObj>
        <w:docPartGallery w:val="Page Numbers (Top of Page)"/>
        <w:docPartUnique/>
      </w:docPartObj>
    </w:sdtPr>
    <w:sdtContent>
      <w:p w:rsidR="007805CD" w:rsidP="002E0C51">
        <w:pPr>
          <w:pStyle w:val="Footer"/>
          <w:ind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>________________________________________________________________________________________</w:t>
        </w:r>
      </w:p>
      <w:p w:rsidR="007805CD" w:rsidP="002E0C51">
        <w:pPr>
          <w:pStyle w:val="Footer"/>
          <w:ind w:right="-313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      Rua Antônio Schiavinato, 59, Residencial São Luis - Tel: (19) 3829.5310 - CEP: 13270-</w:t>
        </w:r>
        <w:r>
          <w:rPr>
            <w:sz w:val="18"/>
            <w:lang w:val="pt-PT"/>
          </w:rPr>
          <w:t>470</w:t>
        </w:r>
      </w:p>
      <w:p w:rsidR="007805CD" w:rsidP="002E0C51">
        <w:pPr>
          <w:pStyle w:val="Footer"/>
          <w:ind w:left="-1985"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</w:t>
        </w:r>
        <w:r>
          <w:rPr>
            <w:sz w:val="18"/>
            <w:lang w:val="pt-PT"/>
          </w:rPr>
          <w:t>site</w:t>
        </w:r>
        <w:r>
          <w:rPr>
            <w:sz w:val="18"/>
            <w:lang w:val="pt-PT"/>
          </w:rPr>
          <w:t xml:space="preserve">: www.camaravalinhos.sp.gov.br   </w:t>
        </w:r>
      </w:p>
      <w:p w:rsidR="007805CD" w:rsidP="00866E5A">
        <w:pPr>
          <w:pStyle w:val="Footer"/>
          <w:tabs>
            <w:tab w:val="left" w:pos="5325"/>
            <w:tab w:val="right" w:pos="8534"/>
          </w:tabs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  <w:t xml:space="preserve">   </w:t>
        </w:r>
        <w:r w:rsidRPr="005C4786">
          <w:rPr>
            <w:rFonts w:asciiTheme="minorHAnsi" w:hAnsiTheme="minorHAnsi"/>
            <w:sz w:val="16"/>
            <w:szCs w:val="16"/>
          </w:rPr>
          <w:t xml:space="preserve">Página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B32E1D">
          <w:rPr>
            <w:rFonts w:asciiTheme="minorHAnsi" w:hAnsiTheme="minorHAnsi"/>
            <w:b/>
            <w:bCs/>
            <w:noProof/>
            <w:sz w:val="16"/>
            <w:szCs w:val="16"/>
          </w:rPr>
          <w:t>10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5C4786">
          <w:rPr>
            <w:rFonts w:asciiTheme="minorHAnsi" w:hAnsiTheme="minorHAnsi"/>
            <w:sz w:val="16"/>
            <w:szCs w:val="16"/>
          </w:rPr>
          <w:t xml:space="preserve"> de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B32E1D">
          <w:rPr>
            <w:rFonts w:asciiTheme="minorHAnsi" w:hAnsiTheme="minorHAnsi"/>
            <w:b/>
            <w:bCs/>
            <w:noProof/>
            <w:sz w:val="16"/>
            <w:szCs w:val="16"/>
          </w:rPr>
          <w:t>11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:rsidR="007805CD" w:rsidP="00866E5A">
    <w:pPr>
      <w:pStyle w:val="Footer"/>
    </w:pPr>
  </w:p>
  <w:p w:rsidR="007805CD" w:rsidRPr="00835EC1" w:rsidP="00866E5A">
    <w:pPr>
      <w:pStyle w:val="Footer"/>
    </w:pPr>
  </w:p>
  <w:p w:rsidR="007805CD"/>
  <w:p w:rsidR="007805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805CD" w:rsidP="005273EF">
      <w:r>
        <w:separator/>
      </w:r>
    </w:p>
  </w:footnote>
  <w:footnote w:type="continuationSeparator" w:id="1">
    <w:p w:rsidR="007805CD" w:rsidP="005273EF">
      <w:r>
        <w:continuationSeparator/>
      </w:r>
    </w:p>
  </w:footnote>
  <w:footnote w:id="2">
    <w:p w:rsidR="007805CD" w:rsidP="00433B1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C67F2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BC67F2">
        <w:rPr>
          <w:rFonts w:asciiTheme="minorHAnsi" w:hAnsiTheme="minorHAnsi"/>
          <w:b/>
          <w:i/>
        </w:rPr>
        <w:t xml:space="preserve">quanto ao seu aspecto constitucional, legal ou jurídico </w:t>
      </w:r>
      <w:r w:rsidRPr="00BC67F2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BC67F2">
        <w:rPr>
          <w:rFonts w:asciiTheme="minorHAnsi" w:hAnsiTheme="minorHAnsi"/>
          <w:i/>
        </w:rPr>
        <w:t>a</w:t>
      </w:r>
      <w:r w:rsidRPr="00BC67F2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BC67F2">
        <w:rPr>
          <w:rFonts w:asciiTheme="minorHAnsi" w:hAnsiTheme="minorHAnsi"/>
          <w:i/>
        </w:rPr>
        <w:t>G.n</w:t>
      </w:r>
      <w:r w:rsidRPr="00BC67F2">
        <w:rPr>
          <w:rFonts w:asciiTheme="minorHAnsi" w:hAnsiTheme="minorHAnsi"/>
          <w:i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5CD">
    <w:pPr>
      <w:pStyle w:val="Header"/>
      <w:rPr>
        <w:b/>
        <w:sz w:val="28"/>
        <w:lang w:val="pt-PT"/>
      </w:rPr>
    </w:pPr>
  </w:p>
  <w:p w:rsidR="007805CD">
    <w:pPr>
      <w:pStyle w:val="Header"/>
      <w:rPr>
        <w:b/>
        <w:sz w:val="28"/>
        <w:lang w:val="pt-PT"/>
      </w:rPr>
    </w:pPr>
  </w:p>
  <w:p w:rsidR="007805CD">
    <w:pPr>
      <w:pStyle w:val="Header"/>
      <w:rPr>
        <w:b/>
        <w:sz w:val="28"/>
        <w:lang w:val="pt-PT"/>
      </w:rPr>
    </w:pPr>
  </w:p>
  <w:p w:rsidR="007805CD" w:rsidP="002001CC">
    <w:pPr>
      <w:pStyle w:val="Header"/>
      <w:tabs>
        <w:tab w:val="left" w:pos="2310"/>
      </w:tabs>
      <w:ind w:right="-822"/>
      <w:rPr>
        <w:b/>
        <w:sz w:val="26"/>
        <w:lang w:val="pt-PT"/>
      </w:rPr>
    </w:pPr>
    <w:r>
      <w:rPr>
        <w:b/>
        <w:noProof/>
        <w:sz w:val="28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5CD" w:rsidP="002E0C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39718935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583191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745537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805CD" w:rsidP="002E0C51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116850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694317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805CD" w:rsidP="002E0C51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805CD" w:rsidP="002E0C51">
    <w:pPr>
      <w:pStyle w:val="Header"/>
      <w:jc w:val="center"/>
    </w:pPr>
    <w:r>
      <w:rPr>
        <w:sz w:val="20"/>
        <w:lang w:val="pt-PT"/>
      </w:rPr>
      <w:t>ESTADO DE SÃO PAULO</w:t>
    </w:r>
  </w:p>
  <w:p w:rsidR="007805CD" w:rsidP="00866E5A">
    <w:pPr>
      <w:pStyle w:val="Header"/>
      <w:ind w:right="-822"/>
      <w:jc w:val="right"/>
      <w:rPr>
        <w:b/>
        <w:noProof/>
        <w:sz w:val="28"/>
      </w:rPr>
    </w:pPr>
  </w:p>
  <w:p w:rsidR="007805CD" w:rsidP="00866E5A">
    <w:pPr>
      <w:pStyle w:val="Header"/>
      <w:ind w:right="-822"/>
      <w:jc w:val="right"/>
      <w:rPr>
        <w:b/>
        <w:noProof/>
        <w:sz w:val="28"/>
      </w:rPr>
    </w:pPr>
  </w:p>
  <w:p w:rsidR="007805CD" w:rsidP="00866E5A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521ABD"/>
    <w:multiLevelType w:val="hybridMultilevel"/>
    <w:tmpl w:val="16DA2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E"/>
    <w:rsid w:val="00034F19"/>
    <w:rsid w:val="0003651A"/>
    <w:rsid w:val="00057344"/>
    <w:rsid w:val="00067AC8"/>
    <w:rsid w:val="00076E23"/>
    <w:rsid w:val="00084468"/>
    <w:rsid w:val="0009184A"/>
    <w:rsid w:val="00092EE4"/>
    <w:rsid w:val="000A564E"/>
    <w:rsid w:val="000E4159"/>
    <w:rsid w:val="001020DF"/>
    <w:rsid w:val="0011594B"/>
    <w:rsid w:val="001251B3"/>
    <w:rsid w:val="00132552"/>
    <w:rsid w:val="00134650"/>
    <w:rsid w:val="00161701"/>
    <w:rsid w:val="00164976"/>
    <w:rsid w:val="001A2E5F"/>
    <w:rsid w:val="001B5CD4"/>
    <w:rsid w:val="001D3EE9"/>
    <w:rsid w:val="001E2AD6"/>
    <w:rsid w:val="001E3C08"/>
    <w:rsid w:val="001F0DB0"/>
    <w:rsid w:val="002001CC"/>
    <w:rsid w:val="00207322"/>
    <w:rsid w:val="00220B5C"/>
    <w:rsid w:val="00226F20"/>
    <w:rsid w:val="002330BC"/>
    <w:rsid w:val="00242271"/>
    <w:rsid w:val="00253E6B"/>
    <w:rsid w:val="0027306E"/>
    <w:rsid w:val="00293529"/>
    <w:rsid w:val="002B205A"/>
    <w:rsid w:val="002C2064"/>
    <w:rsid w:val="002C3004"/>
    <w:rsid w:val="002C5EAF"/>
    <w:rsid w:val="002E0C51"/>
    <w:rsid w:val="002E35AD"/>
    <w:rsid w:val="0032429C"/>
    <w:rsid w:val="00347641"/>
    <w:rsid w:val="003609CB"/>
    <w:rsid w:val="00381F1E"/>
    <w:rsid w:val="00382CA0"/>
    <w:rsid w:val="00383ADA"/>
    <w:rsid w:val="0039541F"/>
    <w:rsid w:val="003A4FC2"/>
    <w:rsid w:val="003A6101"/>
    <w:rsid w:val="003B4E11"/>
    <w:rsid w:val="003D79F2"/>
    <w:rsid w:val="003E0051"/>
    <w:rsid w:val="003E0F9B"/>
    <w:rsid w:val="003E6291"/>
    <w:rsid w:val="004044B3"/>
    <w:rsid w:val="00417E80"/>
    <w:rsid w:val="00433B18"/>
    <w:rsid w:val="0043741B"/>
    <w:rsid w:val="0044657C"/>
    <w:rsid w:val="00447121"/>
    <w:rsid w:val="004639D3"/>
    <w:rsid w:val="00485255"/>
    <w:rsid w:val="004C24C7"/>
    <w:rsid w:val="004C6CF2"/>
    <w:rsid w:val="004E2321"/>
    <w:rsid w:val="004E577C"/>
    <w:rsid w:val="004F49B7"/>
    <w:rsid w:val="00515F8C"/>
    <w:rsid w:val="005273EF"/>
    <w:rsid w:val="00551FDE"/>
    <w:rsid w:val="00553A62"/>
    <w:rsid w:val="00557188"/>
    <w:rsid w:val="00573CED"/>
    <w:rsid w:val="005B67AD"/>
    <w:rsid w:val="005C4786"/>
    <w:rsid w:val="005D1DFC"/>
    <w:rsid w:val="005E0248"/>
    <w:rsid w:val="00602121"/>
    <w:rsid w:val="00610CA9"/>
    <w:rsid w:val="00611960"/>
    <w:rsid w:val="00626AA0"/>
    <w:rsid w:val="00626F30"/>
    <w:rsid w:val="00650860"/>
    <w:rsid w:val="00654337"/>
    <w:rsid w:val="00660E82"/>
    <w:rsid w:val="006615B0"/>
    <w:rsid w:val="00675376"/>
    <w:rsid w:val="00677384"/>
    <w:rsid w:val="00684F78"/>
    <w:rsid w:val="006B34CA"/>
    <w:rsid w:val="006D2CCB"/>
    <w:rsid w:val="006F5C97"/>
    <w:rsid w:val="007106BC"/>
    <w:rsid w:val="00721113"/>
    <w:rsid w:val="00723849"/>
    <w:rsid w:val="007513CB"/>
    <w:rsid w:val="00752210"/>
    <w:rsid w:val="00756D6B"/>
    <w:rsid w:val="0076335C"/>
    <w:rsid w:val="00763D80"/>
    <w:rsid w:val="00776D43"/>
    <w:rsid w:val="007805CD"/>
    <w:rsid w:val="00783B84"/>
    <w:rsid w:val="007856FF"/>
    <w:rsid w:val="00795639"/>
    <w:rsid w:val="007A481F"/>
    <w:rsid w:val="007B3F78"/>
    <w:rsid w:val="007B4299"/>
    <w:rsid w:val="007E33A1"/>
    <w:rsid w:val="007E676D"/>
    <w:rsid w:val="00816BCE"/>
    <w:rsid w:val="008321CA"/>
    <w:rsid w:val="00835EC1"/>
    <w:rsid w:val="0084738E"/>
    <w:rsid w:val="008604A7"/>
    <w:rsid w:val="00861EF4"/>
    <w:rsid w:val="00866E5A"/>
    <w:rsid w:val="00872C27"/>
    <w:rsid w:val="00877340"/>
    <w:rsid w:val="00882BE4"/>
    <w:rsid w:val="00891265"/>
    <w:rsid w:val="00891AAE"/>
    <w:rsid w:val="008B7214"/>
    <w:rsid w:val="008C1FEC"/>
    <w:rsid w:val="009173B1"/>
    <w:rsid w:val="00921620"/>
    <w:rsid w:val="009470BD"/>
    <w:rsid w:val="00961EB7"/>
    <w:rsid w:val="00985BD6"/>
    <w:rsid w:val="009A46FD"/>
    <w:rsid w:val="009B640D"/>
    <w:rsid w:val="009C3A45"/>
    <w:rsid w:val="009D0604"/>
    <w:rsid w:val="009E3538"/>
    <w:rsid w:val="009E4348"/>
    <w:rsid w:val="009E56ED"/>
    <w:rsid w:val="009F0BD1"/>
    <w:rsid w:val="00A0693C"/>
    <w:rsid w:val="00A416A7"/>
    <w:rsid w:val="00A45F4F"/>
    <w:rsid w:val="00A75D0A"/>
    <w:rsid w:val="00A83C4E"/>
    <w:rsid w:val="00A840F7"/>
    <w:rsid w:val="00A842D6"/>
    <w:rsid w:val="00A86A0B"/>
    <w:rsid w:val="00AC02A0"/>
    <w:rsid w:val="00AD6D9C"/>
    <w:rsid w:val="00AE59C1"/>
    <w:rsid w:val="00AE627C"/>
    <w:rsid w:val="00B031D3"/>
    <w:rsid w:val="00B1734B"/>
    <w:rsid w:val="00B32E1D"/>
    <w:rsid w:val="00B662EA"/>
    <w:rsid w:val="00B80A26"/>
    <w:rsid w:val="00BA28BE"/>
    <w:rsid w:val="00BC0C7F"/>
    <w:rsid w:val="00BC67F2"/>
    <w:rsid w:val="00BE6AF5"/>
    <w:rsid w:val="00C16F89"/>
    <w:rsid w:val="00C21392"/>
    <w:rsid w:val="00C219A9"/>
    <w:rsid w:val="00C44E86"/>
    <w:rsid w:val="00C50FBC"/>
    <w:rsid w:val="00C828C6"/>
    <w:rsid w:val="00C84EF2"/>
    <w:rsid w:val="00C868E8"/>
    <w:rsid w:val="00C96201"/>
    <w:rsid w:val="00CB18CB"/>
    <w:rsid w:val="00CD5748"/>
    <w:rsid w:val="00CF22FD"/>
    <w:rsid w:val="00CF3C44"/>
    <w:rsid w:val="00D273E6"/>
    <w:rsid w:val="00D3433B"/>
    <w:rsid w:val="00D357AE"/>
    <w:rsid w:val="00D36B91"/>
    <w:rsid w:val="00D37CD9"/>
    <w:rsid w:val="00D40CAB"/>
    <w:rsid w:val="00D71B06"/>
    <w:rsid w:val="00D85788"/>
    <w:rsid w:val="00D85FE9"/>
    <w:rsid w:val="00D97799"/>
    <w:rsid w:val="00D97E13"/>
    <w:rsid w:val="00DA2390"/>
    <w:rsid w:val="00DB7C07"/>
    <w:rsid w:val="00DC76DD"/>
    <w:rsid w:val="00DE0830"/>
    <w:rsid w:val="00DF773E"/>
    <w:rsid w:val="00E018CF"/>
    <w:rsid w:val="00E4285B"/>
    <w:rsid w:val="00E63516"/>
    <w:rsid w:val="00E7569A"/>
    <w:rsid w:val="00E76267"/>
    <w:rsid w:val="00E85A3F"/>
    <w:rsid w:val="00E940B0"/>
    <w:rsid w:val="00E943B9"/>
    <w:rsid w:val="00EA050A"/>
    <w:rsid w:val="00EA09B6"/>
    <w:rsid w:val="00EB421F"/>
    <w:rsid w:val="00EC68DF"/>
    <w:rsid w:val="00ED239C"/>
    <w:rsid w:val="00ED5F89"/>
    <w:rsid w:val="00F006F3"/>
    <w:rsid w:val="00F0772F"/>
    <w:rsid w:val="00F300EC"/>
    <w:rsid w:val="00F36C90"/>
    <w:rsid w:val="00F40C65"/>
    <w:rsid w:val="00F5395E"/>
    <w:rsid w:val="00F612E5"/>
    <w:rsid w:val="00F65635"/>
    <w:rsid w:val="00F87210"/>
    <w:rsid w:val="00FB3ABB"/>
    <w:rsid w:val="00FD6903"/>
    <w:rsid w:val="00FE2130"/>
    <w:rsid w:val="00FE51A5"/>
    <w:rsid w:val="00FF47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A56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0A56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A564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A564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A56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0A564E"/>
  </w:style>
  <w:style w:type="paragraph" w:customStyle="1" w:styleId="paragrafo">
    <w:name w:val="paragrafo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35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7AE"/>
    <w:rPr>
      <w:color w:val="0000FF"/>
      <w:u w:val="single"/>
    </w:rPr>
  </w:style>
  <w:style w:type="paragraph" w:customStyle="1" w:styleId="texto1">
    <w:name w:val="texto1"/>
    <w:basedOn w:val="Normal"/>
    <w:rsid w:val="00D357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866E5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A61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A6101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433B18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433B18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433B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go">
    <w:name w:val="artigo"/>
    <w:basedOn w:val="Normal"/>
    <w:rsid w:val="00BC0C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Constituicao/Constituicao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0DAD-DAC8-4FFA-A2CE-83CFC7B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3205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86</cp:revision>
  <cp:lastPrinted>2021-10-07T16:56:00Z</cp:lastPrinted>
  <dcterms:created xsi:type="dcterms:W3CDTF">2023-01-19T17:34:00Z</dcterms:created>
  <dcterms:modified xsi:type="dcterms:W3CDTF">2023-02-09T16:43:00Z</dcterms:modified>
</cp:coreProperties>
</file>