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185E77" w:rsidP="00D4238B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7B5A05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7B5A05">
        <w:rPr>
          <w:rFonts w:asciiTheme="minorHAnsi" w:hAnsiTheme="minorHAnsi" w:cstheme="minorHAnsi"/>
          <w:b/>
          <w:color w:val="auto"/>
        </w:rPr>
        <w:t>08</w:t>
      </w:r>
      <w:r w:rsidRPr="007B5A05" w:rsidR="00EB17A8">
        <w:rPr>
          <w:rFonts w:asciiTheme="minorHAnsi" w:hAnsiTheme="minorHAnsi" w:cstheme="minorHAnsi"/>
          <w:b/>
          <w:color w:val="auto"/>
        </w:rPr>
        <w:t>/2023</w:t>
      </w:r>
      <w:r w:rsidRPr="00185E77" w:rsidR="00EB17A8">
        <w:rPr>
          <w:rFonts w:asciiTheme="minorHAnsi" w:hAnsiTheme="minorHAnsi" w:cstheme="minorHAnsi"/>
          <w:b/>
          <w:color w:val="FF0000"/>
        </w:rPr>
        <w:t>.</w:t>
      </w:r>
    </w:p>
    <w:p w:rsidR="001D63E7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BE6AF5">
        <w:rPr>
          <w:rFonts w:asciiTheme="minorHAnsi" w:hAnsiTheme="minorHAnsi" w:cstheme="minorHAnsi"/>
          <w:b/>
          <w:bCs/>
          <w:szCs w:val="24"/>
        </w:rPr>
        <w:t xml:space="preserve">Assunto: </w:t>
      </w:r>
      <w:r w:rsidRPr="00EB17A8" w:rsidR="00EB17A8">
        <w:rPr>
          <w:rFonts w:asciiTheme="minorHAnsi" w:hAnsiTheme="minorHAnsi" w:cstheme="minorHAnsi"/>
          <w:bCs/>
          <w:szCs w:val="24"/>
        </w:rPr>
        <w:t>Emenda 01</w:t>
      </w:r>
      <w:r w:rsidRPr="00EB17A8">
        <w:rPr>
          <w:rFonts w:asciiTheme="minorHAnsi" w:hAnsiTheme="minorHAnsi" w:cstheme="minorHAnsi"/>
          <w:bCs/>
          <w:szCs w:val="24"/>
        </w:rPr>
        <w:t xml:space="preserve"> ao </w:t>
      </w:r>
      <w:r w:rsidR="007B5A05">
        <w:rPr>
          <w:rFonts w:asciiTheme="minorHAnsi" w:hAnsiTheme="minorHAnsi" w:cstheme="minorHAnsi"/>
          <w:bCs/>
          <w:szCs w:val="24"/>
        </w:rPr>
        <w:t xml:space="preserve">Substitutivo nº01 ao </w:t>
      </w:r>
      <w:r w:rsidRPr="00EB17A8">
        <w:rPr>
          <w:rFonts w:asciiTheme="minorHAnsi" w:hAnsiTheme="minorHAnsi" w:cstheme="minorHAnsi"/>
          <w:bCs/>
          <w:szCs w:val="24"/>
        </w:rPr>
        <w:t xml:space="preserve">Projeto de Lei nº </w:t>
      </w:r>
      <w:r w:rsidRPr="00EB17A8" w:rsidR="00A3393A">
        <w:rPr>
          <w:rFonts w:asciiTheme="minorHAnsi" w:hAnsiTheme="minorHAnsi" w:cstheme="minorHAnsi"/>
          <w:bCs/>
          <w:szCs w:val="24"/>
        </w:rPr>
        <w:t>57</w:t>
      </w:r>
      <w:r w:rsidRPr="00EB17A8">
        <w:rPr>
          <w:rFonts w:asciiTheme="minorHAnsi" w:hAnsiTheme="minorHAnsi" w:cstheme="minorHAnsi"/>
          <w:bCs/>
          <w:szCs w:val="24"/>
        </w:rPr>
        <w:t>/202</w:t>
      </w:r>
      <w:r w:rsidRPr="00EB17A8" w:rsidR="00EB17A8">
        <w:rPr>
          <w:rFonts w:asciiTheme="minorHAnsi" w:hAnsiTheme="minorHAnsi" w:cstheme="minorHAnsi"/>
          <w:bCs/>
          <w:szCs w:val="24"/>
        </w:rPr>
        <w:t>2</w:t>
      </w:r>
      <w:r w:rsidRPr="00EB17A8">
        <w:rPr>
          <w:rFonts w:asciiTheme="minorHAnsi" w:hAnsiTheme="minorHAnsi" w:cstheme="minorHAnsi"/>
          <w:bCs/>
          <w:szCs w:val="24"/>
        </w:rPr>
        <w:t xml:space="preserve"> </w:t>
      </w:r>
      <w:r w:rsidRPr="00EB17A8" w:rsidR="00EB17A8">
        <w:rPr>
          <w:rFonts w:asciiTheme="minorHAnsi" w:hAnsiTheme="minorHAnsi" w:cstheme="minorHAnsi"/>
          <w:bCs/>
          <w:szCs w:val="24"/>
        </w:rPr>
        <w:t xml:space="preserve">que </w:t>
      </w:r>
      <w:r w:rsidRPr="00EB17A8" w:rsidR="00EB17A8">
        <w:rPr>
          <w:rFonts w:asciiTheme="minorHAnsi" w:hAnsiTheme="minorHAnsi" w:cstheme="minorHAnsi"/>
          <w:bCs/>
          <w:szCs w:val="24"/>
        </w:rPr>
        <w:t>“</w:t>
      </w:r>
      <w:r w:rsidRPr="00EB17A8" w:rsidR="00EB17A8">
        <w:rPr>
          <w:rFonts w:asciiTheme="minorHAnsi" w:hAnsiTheme="minorHAnsi" w:cstheme="minorHAnsi"/>
          <w:bCs/>
          <w:i/>
          <w:szCs w:val="24"/>
        </w:rPr>
        <w:t>a</w:t>
      </w:r>
      <w:r w:rsidR="007B5A05">
        <w:rPr>
          <w:rFonts w:asciiTheme="minorHAnsi" w:hAnsiTheme="minorHAnsi" w:cstheme="minorHAnsi"/>
          <w:bCs/>
          <w:i/>
          <w:szCs w:val="24"/>
        </w:rPr>
        <w:t>ltera o artigo</w:t>
      </w:r>
      <w:r w:rsidR="007B5A05">
        <w:rPr>
          <w:rFonts w:asciiTheme="minorHAnsi" w:hAnsiTheme="minorHAnsi" w:cstheme="minorHAnsi"/>
          <w:bCs/>
          <w:i/>
          <w:szCs w:val="24"/>
        </w:rPr>
        <w:t xml:space="preserve"> </w:t>
      </w:r>
      <w:r w:rsidRPr="00EB17A8" w:rsidR="00EB17A8">
        <w:rPr>
          <w:rFonts w:asciiTheme="minorHAnsi" w:hAnsiTheme="minorHAnsi" w:cstheme="minorHAnsi"/>
          <w:bCs/>
          <w:i/>
          <w:szCs w:val="24"/>
        </w:rPr>
        <w:t>3º do Substitutivo, que "dispõe sobre os parâmetros de contrapartida obrigatória para a participação dos empreendimentos imobiliários residenciais e não residenciais privados na ampliação e no melhoramento da infraestrutura urbana, do saneamento e de proteção ao Meio Ambiente do Município de Valinhos, na forma que especifica".</w:t>
      </w:r>
      <w:r w:rsidR="00EB17A8">
        <w:rPr>
          <w:rFonts w:asciiTheme="minorHAnsi" w:hAnsiTheme="minorHAnsi" w:cstheme="minorHAnsi"/>
          <w:b/>
          <w:bCs/>
          <w:i/>
          <w:szCs w:val="24"/>
        </w:rPr>
        <w:t xml:space="preserve"> 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 xml:space="preserve">Vereador </w:t>
      </w:r>
      <w:r>
        <w:rPr>
          <w:rFonts w:asciiTheme="minorHAnsi" w:hAnsiTheme="minorHAnsi" w:cstheme="minorHAnsi"/>
          <w:bCs/>
          <w:szCs w:val="24"/>
        </w:rPr>
        <w:t>Edinho Garcia.</w:t>
      </w:r>
    </w:p>
    <w:p w:rsidR="00D4238B" w:rsidRPr="00EB17A8" w:rsidP="00185E77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EB17A8">
        <w:rPr>
          <w:rFonts w:asciiTheme="minorHAnsi" w:hAnsiTheme="minorHAnsi" w:cstheme="minorHAnsi"/>
          <w:b/>
          <w:bCs/>
          <w:szCs w:val="24"/>
        </w:rPr>
        <w:t xml:space="preserve">Referência: </w:t>
      </w:r>
      <w:r w:rsidRPr="00EB17A8">
        <w:rPr>
          <w:rFonts w:asciiTheme="minorHAnsi" w:hAnsiTheme="minorHAnsi" w:cstheme="minorHAnsi"/>
          <w:bCs/>
          <w:szCs w:val="24"/>
        </w:rPr>
        <w:t xml:space="preserve">Processo Legislativo nº </w:t>
      </w:r>
      <w:r w:rsidR="00185E77">
        <w:rPr>
          <w:rFonts w:asciiTheme="minorHAnsi" w:hAnsiTheme="minorHAnsi" w:cstheme="minorHAnsi"/>
          <w:bCs/>
          <w:szCs w:val="24"/>
        </w:rPr>
        <w:t>6321/2022.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3393A" w:rsidRPr="00BD076E" w:rsidP="00353DD1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BD076E" w:rsidR="00116C2C">
        <w:rPr>
          <w:rFonts w:asciiTheme="minorHAnsi" w:hAnsiTheme="minorHAnsi" w:cstheme="minorHAnsi"/>
          <w:color w:val="auto"/>
        </w:rPr>
        <w:t>pretende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BD076E">
        <w:rPr>
          <w:rFonts w:asciiTheme="minorHAnsi" w:hAnsiTheme="minorHAnsi" w:cstheme="minorHAnsi"/>
          <w:color w:val="auto"/>
        </w:rPr>
        <w:t>conferir nova redação ao</w:t>
      </w:r>
      <w:r w:rsidRPr="00BD076E" w:rsidR="00116C2C">
        <w:rPr>
          <w:rFonts w:asciiTheme="minorHAnsi" w:hAnsiTheme="minorHAnsi" w:cstheme="minorHAnsi"/>
          <w:color w:val="auto"/>
        </w:rPr>
        <w:t xml:space="preserve"> </w:t>
      </w:r>
      <w:r w:rsidRPr="00BD076E" w:rsidR="00116C2C">
        <w:rPr>
          <w:rFonts w:asciiTheme="minorHAnsi" w:hAnsiTheme="minorHAnsi" w:cstheme="minorHAnsi"/>
          <w:i/>
          <w:color w:val="auto"/>
        </w:rPr>
        <w:t>caput</w:t>
      </w:r>
      <w:r w:rsidRPr="00BD076E" w:rsidR="00116C2C">
        <w:rPr>
          <w:rFonts w:asciiTheme="minorHAnsi" w:hAnsiTheme="minorHAnsi" w:cstheme="minorHAnsi"/>
          <w:color w:val="auto"/>
        </w:rPr>
        <w:t xml:space="preserve"> do</w:t>
      </w:r>
      <w:r w:rsidRPr="00BD076E">
        <w:rPr>
          <w:rFonts w:asciiTheme="minorHAnsi" w:hAnsiTheme="minorHAnsi" w:cstheme="minorHAnsi"/>
          <w:color w:val="auto"/>
        </w:rPr>
        <w:t xml:space="preserve"> artigo</w:t>
      </w:r>
      <w:r w:rsidRPr="00BD076E" w:rsidR="00116C2C">
        <w:rPr>
          <w:rFonts w:asciiTheme="minorHAnsi" w:hAnsiTheme="minorHAnsi" w:cstheme="minorHAnsi"/>
          <w:color w:val="auto"/>
        </w:rPr>
        <w:t xml:space="preserve"> 3º</w:t>
      </w:r>
      <w:r w:rsidRPr="00BD076E">
        <w:rPr>
          <w:rFonts w:asciiTheme="minorHAnsi" w:hAnsiTheme="minorHAnsi" w:cstheme="minorHAnsi"/>
          <w:color w:val="auto"/>
        </w:rPr>
        <w:t xml:space="preserve"> </w:t>
      </w:r>
      <w:r w:rsidRPr="00BD076E" w:rsidR="00116C2C">
        <w:rPr>
          <w:rFonts w:asciiTheme="minorHAnsi" w:hAnsiTheme="minorHAnsi" w:cstheme="minorHAnsi"/>
          <w:color w:val="auto"/>
        </w:rPr>
        <w:t>do Substitutivo</w:t>
      </w:r>
      <w:r w:rsidR="00D76EAD">
        <w:rPr>
          <w:rFonts w:asciiTheme="minorHAnsi" w:hAnsiTheme="minorHAnsi" w:cstheme="minorHAnsi"/>
          <w:color w:val="auto"/>
        </w:rPr>
        <w:t xml:space="preserve"> nº01</w:t>
      </w:r>
      <w:r w:rsidRPr="00BD076E" w:rsidR="00116C2C">
        <w:rPr>
          <w:rFonts w:asciiTheme="minorHAnsi" w:hAnsiTheme="minorHAnsi" w:cstheme="minorHAnsi"/>
          <w:color w:val="auto"/>
        </w:rPr>
        <w:t xml:space="preserve"> ao</w:t>
      </w:r>
      <w:r w:rsidRPr="00BD076E">
        <w:rPr>
          <w:rFonts w:asciiTheme="minorHAnsi" w:hAnsiTheme="minorHAnsi" w:cstheme="minorHAnsi"/>
          <w:color w:val="auto"/>
        </w:rPr>
        <w:t xml:space="preserve"> Projeto de Lei nº 57/202</w:t>
      </w:r>
      <w:r w:rsidRPr="00BD076E" w:rsidR="00116C2C">
        <w:rPr>
          <w:rFonts w:asciiTheme="minorHAnsi" w:hAnsiTheme="minorHAnsi" w:cstheme="minorHAnsi"/>
          <w:color w:val="auto"/>
        </w:rPr>
        <w:t>2</w:t>
      </w:r>
      <w:r w:rsidRPr="00BD076E">
        <w:rPr>
          <w:rFonts w:asciiTheme="minorHAnsi" w:hAnsiTheme="minorHAnsi" w:cstheme="minorHAnsi"/>
          <w:color w:val="auto"/>
        </w:rPr>
        <w:t>, nos seguintes termos:</w:t>
      </w:r>
    </w:p>
    <w:tbl>
      <w:tblPr>
        <w:tblStyle w:val="TableGrid"/>
        <w:tblW w:w="0" w:type="auto"/>
        <w:tblLook w:val="04A0"/>
      </w:tblPr>
      <w:tblGrid>
        <w:gridCol w:w="4219"/>
        <w:gridCol w:w="4425"/>
      </w:tblGrid>
      <w:tr w:rsidTr="00C40D18">
        <w:tblPrEx>
          <w:tblW w:w="0" w:type="auto"/>
          <w:tblLook w:val="04A0"/>
        </w:tblPrEx>
        <w:trPr>
          <w:trHeight w:val="814"/>
        </w:trPr>
        <w:tc>
          <w:tcPr>
            <w:tcW w:w="4219" w:type="dxa"/>
          </w:tcPr>
          <w:p w:rsidR="00A3393A" w:rsidRPr="00BD076E" w:rsidP="00A3393A">
            <w:pPr>
              <w:pStyle w:val="Default"/>
              <w:spacing w:after="24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Substitutivo 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 xml:space="preserve">nº 01 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>ao Projeto de Lei nº 57/2022</w:t>
            </w:r>
          </w:p>
        </w:tc>
        <w:tc>
          <w:tcPr>
            <w:tcW w:w="4425" w:type="dxa"/>
          </w:tcPr>
          <w:p w:rsidR="00A3393A" w:rsidRPr="00BD076E" w:rsidP="00353DD1">
            <w:pPr>
              <w:pStyle w:val="Default"/>
              <w:spacing w:after="240" w:line="36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BD076E">
              <w:rPr>
                <w:rFonts w:asciiTheme="minorHAnsi" w:hAnsiTheme="minorHAnsi" w:cstheme="minorHAnsi"/>
                <w:b/>
                <w:color w:val="auto"/>
              </w:rPr>
              <w:t>Emenda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 xml:space="preserve"> nº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 01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 ao 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Substitutivo 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 xml:space="preserve">nº01 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 xml:space="preserve">ao 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>Projeto de Lei nº 5</w:t>
            </w:r>
            <w:r w:rsidR="00F13634">
              <w:rPr>
                <w:rFonts w:asciiTheme="minorHAnsi" w:hAnsiTheme="minorHAnsi" w:cstheme="minorHAnsi"/>
                <w:b/>
                <w:color w:val="auto"/>
              </w:rPr>
              <w:t>7</w:t>
            </w:r>
            <w:r w:rsidRPr="00BD076E">
              <w:rPr>
                <w:rFonts w:asciiTheme="minorHAnsi" w:hAnsiTheme="minorHAnsi" w:cstheme="minorHAnsi"/>
                <w:b/>
                <w:color w:val="auto"/>
              </w:rPr>
              <w:t>/2022</w:t>
            </w:r>
          </w:p>
        </w:tc>
      </w:tr>
      <w:tr w:rsidTr="00C40D18">
        <w:tblPrEx>
          <w:tblW w:w="0" w:type="auto"/>
          <w:tblLook w:val="04A0"/>
        </w:tblPrEx>
        <w:trPr>
          <w:trHeight w:val="3807"/>
        </w:trPr>
        <w:tc>
          <w:tcPr>
            <w:tcW w:w="4219" w:type="dxa"/>
          </w:tcPr>
          <w:p w:rsidR="00C40D18" w:rsidRPr="00C2365D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2365D">
              <w:rPr>
                <w:rFonts w:asciiTheme="minorHAnsi" w:hAnsiTheme="minorHAnsi" w:cstheme="minorHAnsi"/>
                <w:i/>
                <w:color w:val="auto"/>
              </w:rPr>
              <w:t xml:space="preserve">Art. 3º. O cumprimento da contrapartida obrigatória se dará, </w:t>
            </w:r>
            <w:r w:rsidRPr="0035695C">
              <w:rPr>
                <w:rFonts w:asciiTheme="minorHAnsi" w:hAnsiTheme="minorHAnsi" w:cstheme="minorHAnsi"/>
                <w:b/>
                <w:i/>
                <w:color w:val="auto"/>
              </w:rPr>
              <w:t>a critério do empreendedor</w:t>
            </w:r>
            <w:r w:rsidRPr="00C2365D">
              <w:rPr>
                <w:rFonts w:asciiTheme="minorHAnsi" w:hAnsiTheme="minorHAnsi" w:cstheme="minorHAnsi"/>
                <w:i/>
                <w:color w:val="auto"/>
              </w:rPr>
              <w:t xml:space="preserve"> e observados os termos desta Lei:</w:t>
            </w:r>
          </w:p>
          <w:p w:rsidR="00C40D18" w:rsidRPr="00C2365D" w:rsidP="00C40D18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2365D">
              <w:rPr>
                <w:rFonts w:asciiTheme="minorHAnsi" w:hAnsiTheme="minorHAnsi" w:cstheme="minorHAnsi"/>
                <w:i/>
                <w:color w:val="auto"/>
              </w:rPr>
              <w:t xml:space="preserve"> I – em pecúnia;</w:t>
            </w:r>
          </w:p>
          <w:p w:rsidR="00626A4F" w:rsidRPr="006F165C" w:rsidP="00C40D18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  <w:r w:rsidRPr="00C2365D">
              <w:rPr>
                <w:rFonts w:asciiTheme="minorHAnsi" w:hAnsiTheme="minorHAnsi" w:cstheme="minorHAnsi"/>
                <w:i/>
                <w:color w:val="auto"/>
              </w:rPr>
              <w:t>II – na execução de obras.</w:t>
            </w:r>
          </w:p>
        </w:tc>
        <w:tc>
          <w:tcPr>
            <w:tcW w:w="4425" w:type="dxa"/>
          </w:tcPr>
          <w:p w:rsidR="00C40D18" w:rsidRPr="00C40D18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C2365D">
              <w:rPr>
                <w:rFonts w:asciiTheme="minorHAnsi" w:hAnsiTheme="minorHAnsi" w:cstheme="minorHAnsi"/>
                <w:i/>
                <w:color w:val="auto"/>
              </w:rPr>
              <w:t>Art. 3º. O cumprimento da contrapartida obrigatória se dará</w:t>
            </w:r>
            <w:r w:rsidRPr="00C40D18">
              <w:rPr>
                <w:rFonts w:asciiTheme="minorHAnsi" w:hAnsiTheme="minorHAnsi" w:cstheme="minorHAnsi"/>
                <w:b/>
                <w:i/>
                <w:color w:val="auto"/>
              </w:rPr>
              <w:t xml:space="preserve">, a critério do poder </w:t>
            </w:r>
            <w:r w:rsidRPr="00C40D18">
              <w:rPr>
                <w:rFonts w:asciiTheme="minorHAnsi" w:hAnsiTheme="minorHAnsi" w:cstheme="minorHAnsi"/>
                <w:b/>
                <w:i/>
                <w:color w:val="auto"/>
              </w:rPr>
              <w:t xml:space="preserve">público </w:t>
            </w:r>
            <w:r w:rsidRPr="00C2365D">
              <w:rPr>
                <w:rFonts w:asciiTheme="minorHAnsi" w:hAnsiTheme="minorHAnsi" w:cstheme="minorHAnsi"/>
                <w:i/>
                <w:color w:val="auto"/>
              </w:rPr>
              <w:t>e observados</w:t>
            </w:r>
            <w:r w:rsidRPr="00C2365D">
              <w:rPr>
                <w:rFonts w:asciiTheme="minorHAnsi" w:hAnsiTheme="minorHAnsi" w:cstheme="minorHAnsi"/>
                <w:i/>
                <w:color w:val="auto"/>
              </w:rPr>
              <w:t xml:space="preserve"> os termos desta Lei:</w:t>
            </w:r>
            <w:r w:rsidRPr="00C40D18">
              <w:rPr>
                <w:rFonts w:asciiTheme="minorHAnsi" w:hAnsiTheme="minorHAnsi" w:cstheme="minorHAnsi"/>
                <w:b/>
                <w:i/>
                <w:color w:val="auto"/>
              </w:rPr>
              <w:t xml:space="preserve"> </w:t>
            </w:r>
          </w:p>
          <w:p w:rsidR="00C40D18" w:rsidRPr="00C40D18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40D18">
              <w:rPr>
                <w:rFonts w:asciiTheme="minorHAnsi" w:hAnsiTheme="minorHAnsi" w:cstheme="minorHAnsi"/>
                <w:i/>
                <w:color w:val="auto"/>
              </w:rPr>
              <w:t xml:space="preserve">I – em pecúnia; </w:t>
            </w:r>
          </w:p>
          <w:p w:rsidR="00626A4F" w:rsidRPr="00C40D18" w:rsidP="00626A4F">
            <w:pPr>
              <w:pStyle w:val="Default"/>
              <w:spacing w:after="240" w:line="276" w:lineRule="auto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C40D18">
              <w:rPr>
                <w:rFonts w:asciiTheme="minorHAnsi" w:hAnsiTheme="minorHAnsi" w:cstheme="minorHAnsi"/>
                <w:i/>
                <w:color w:val="auto"/>
              </w:rPr>
              <w:t>II – na execução de obras.</w:t>
            </w:r>
          </w:p>
        </w:tc>
      </w:tr>
    </w:tbl>
    <w:p w:rsidR="00A779B8" w:rsidRPr="001D6A14" w:rsidP="0082204D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</w:t>
      </w:r>
      <w:r w:rsidRPr="001D6A14">
        <w:rPr>
          <w:rFonts w:asciiTheme="minorHAnsi" w:hAnsiTheme="minorHAnsi" w:cstheme="minorHAnsi"/>
          <w:i/>
          <w:color w:val="auto"/>
        </w:rPr>
        <w:t xml:space="preserve">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Ressalta-se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 xml:space="preserve">sendo meramente opinativo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  <w:r w:rsidRPr="001D6A14">
        <w:rPr>
          <w:rFonts w:asciiTheme="minorHAnsi" w:hAnsiTheme="minorHAnsi" w:cstheme="minorHAnsi"/>
          <w:color w:val="auto"/>
        </w:rPr>
        <w:t xml:space="preserve">Nesse sentido é o entendimento do </w:t>
      </w:r>
      <w:r w:rsidRPr="001D6A14" w:rsidR="001D6A14">
        <w:rPr>
          <w:rFonts w:asciiTheme="minorHAnsi" w:hAnsiTheme="minorHAnsi" w:cstheme="minorHAnsi"/>
          <w:color w:val="auto"/>
        </w:rPr>
        <w:t xml:space="preserve">C. </w:t>
      </w:r>
      <w:r w:rsidRPr="001D6A14">
        <w:rPr>
          <w:rFonts w:asciiTheme="minorHAnsi" w:hAnsiTheme="minorHAnsi" w:cstheme="minorHAnsi"/>
          <w:color w:val="auto"/>
        </w:rPr>
        <w:t xml:space="preserve">Supremo Tribunal Federal: </w:t>
      </w:r>
    </w:p>
    <w:p w:rsidR="00A779B8" w:rsidRPr="00F439F6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439F6">
        <w:rPr>
          <w:rFonts w:asciiTheme="minorHAnsi" w:hAnsiTheme="minorHAnsi" w:cstheme="minorHAns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</w:t>
      </w:r>
      <w:r w:rsidRPr="00F439F6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F439F6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ex</w:t>
      </w:r>
      <w:r w:rsidRPr="00F439F6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</w:t>
      </w:r>
      <w:r w:rsidRPr="00F439F6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oficio</w:t>
      </w:r>
      <w:r w:rsidRPr="00F439F6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da lei.</w:t>
      </w:r>
      <w:r w:rsidRPr="00F439F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 w:rsidRPr="00D262DC">
        <w:rPr>
          <w:rFonts w:eastAsia="Calibri" w:asciiTheme="minorHAnsi" w:hAnsiTheme="minorHAnsi" w:cstheme="minorHAnsi"/>
          <w:szCs w:val="24"/>
        </w:rPr>
        <w:t xml:space="preserve">Nesse sentido,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222C85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RPr="0032224F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A779B8" w:rsidRPr="006F165C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FF0000"/>
          <w:sz w:val="12"/>
          <w:szCs w:val="12"/>
        </w:rPr>
      </w:pPr>
    </w:p>
    <w:p w:rsidR="00A779B8" w:rsidRPr="006F165C" w:rsidP="00F648BB">
      <w:pPr>
        <w:autoSpaceDE w:val="0"/>
        <w:autoSpaceDN w:val="0"/>
        <w:adjustRightInd w:val="0"/>
        <w:spacing w:before="240" w:after="240" w:line="360" w:lineRule="auto"/>
        <w:ind w:firstLine="1418"/>
        <w:jc w:val="both"/>
        <w:rPr>
          <w:rFonts w:ascii="Calibri" w:hAnsi="Calibri" w:cstheme="minorHAnsi"/>
          <w:color w:val="FF0000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</w:t>
      </w:r>
      <w:r w:rsidR="00591C6F">
        <w:rPr>
          <w:rFonts w:asciiTheme="minorHAnsi" w:hAnsiTheme="minorHAnsi" w:cs="Calibri"/>
          <w:szCs w:val="24"/>
        </w:rPr>
        <w:t>s.m.j</w:t>
      </w:r>
      <w:r w:rsidR="00591C6F">
        <w:rPr>
          <w:rFonts w:asciiTheme="minorHAnsi" w:hAnsiTheme="minorHAnsi" w:cs="Calibri"/>
          <w:szCs w:val="24"/>
        </w:rPr>
        <w:t xml:space="preserve">, </w:t>
      </w:r>
      <w:bookmarkStart w:id="0" w:name="_GoBack"/>
      <w:bookmarkEnd w:id="0"/>
      <w:r w:rsidRPr="00EA43E7">
        <w:rPr>
          <w:rFonts w:asciiTheme="minorHAnsi" w:hAnsiTheme="minorHAnsi" w:cs="Calibri"/>
          <w:szCs w:val="24"/>
        </w:rPr>
        <w:t xml:space="preserve">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 e</w:t>
      </w:r>
      <w:r w:rsidR="005D402B">
        <w:rPr>
          <w:rFonts w:asciiTheme="minorHAnsi" w:hAnsiTheme="minorHAnsi" w:cs="Calibri"/>
          <w:szCs w:val="24"/>
        </w:rPr>
        <w:t>,</w:t>
      </w:r>
      <w:r w:rsidRPr="00EA43E7">
        <w:rPr>
          <w:rFonts w:asciiTheme="minorHAnsi" w:hAnsiTheme="minorHAnsi" w:cs="Calibri"/>
          <w:szCs w:val="24"/>
        </w:rPr>
        <w:t xml:space="preserve"> quanto à matéria</w:t>
      </w:r>
      <w:r w:rsidR="005D402B">
        <w:rPr>
          <w:rFonts w:asciiTheme="minorHAnsi" w:hAnsiTheme="minorHAnsi" w:cs="Calibri"/>
          <w:szCs w:val="24"/>
        </w:rPr>
        <w:t>,</w:t>
      </w:r>
      <w:r w:rsidRPr="00EA43E7">
        <w:rPr>
          <w:rFonts w:asciiTheme="minorHAnsi" w:hAnsiTheme="minorHAnsi" w:cs="Calibri"/>
          <w:szCs w:val="24"/>
        </w:rPr>
        <w:t xml:space="preserve"> </w:t>
      </w:r>
      <w:r w:rsidRPr="00EA43E7" w:rsidR="00C15DC4">
        <w:rPr>
          <w:rFonts w:asciiTheme="minorHAnsi" w:hAnsiTheme="minorHAnsi" w:cs="Calibri"/>
          <w:szCs w:val="24"/>
        </w:rPr>
        <w:t xml:space="preserve">reiteramos </w:t>
      </w:r>
      <w:r w:rsidRPr="00EA43E7" w:rsidR="00F90411">
        <w:rPr>
          <w:rFonts w:asciiTheme="minorHAnsi" w:hAnsiTheme="minorHAnsi" w:cs="Calibri"/>
          <w:szCs w:val="24"/>
        </w:rPr>
        <w:t xml:space="preserve">o </w:t>
      </w:r>
      <w:r w:rsidRPr="00EA43E7" w:rsidR="003E1CF9">
        <w:rPr>
          <w:rFonts w:asciiTheme="minorHAnsi" w:hAnsiTheme="minorHAnsi" w:cs="Calibri"/>
          <w:szCs w:val="24"/>
        </w:rPr>
        <w:t>r.</w:t>
      </w:r>
      <w:r w:rsidRPr="00EA43E7" w:rsidR="003E1CF9">
        <w:rPr>
          <w:rFonts w:asciiTheme="minorHAnsi" w:hAnsiTheme="minorHAnsi" w:cs="Calibri"/>
          <w:szCs w:val="24"/>
        </w:rPr>
        <w:t xml:space="preserve"> </w:t>
      </w:r>
      <w:r w:rsidRPr="00EA43E7" w:rsidR="00EA43E7">
        <w:rPr>
          <w:rFonts w:asciiTheme="minorHAnsi" w:hAnsiTheme="minorHAnsi" w:cstheme="minorHAnsi"/>
          <w:szCs w:val="24"/>
        </w:rPr>
        <w:t xml:space="preserve">Parecer </w:t>
      </w:r>
      <w:r w:rsidR="005D402B">
        <w:rPr>
          <w:rFonts w:asciiTheme="minorHAnsi" w:hAnsiTheme="minorHAnsi" w:cstheme="minorHAnsi"/>
          <w:szCs w:val="24"/>
        </w:rPr>
        <w:t xml:space="preserve">Jurídico </w:t>
      </w:r>
      <w:r w:rsidRPr="00EA43E7" w:rsidR="00EA43E7">
        <w:rPr>
          <w:rFonts w:asciiTheme="minorHAnsi" w:hAnsiTheme="minorHAnsi" w:cstheme="minorHAnsi"/>
          <w:szCs w:val="24"/>
        </w:rPr>
        <w:t>nº 435/2022</w:t>
      </w:r>
      <w:r w:rsidRPr="00EA43E7" w:rsidR="00F90411">
        <w:rPr>
          <w:rFonts w:asciiTheme="minorHAnsi" w:hAnsiTheme="minorHAnsi" w:cstheme="minorHAnsi"/>
          <w:szCs w:val="24"/>
        </w:rPr>
        <w:t xml:space="preserve"> referente ao </w:t>
      </w:r>
      <w:r w:rsidRPr="00EA43E7" w:rsidR="00EA43E7">
        <w:rPr>
          <w:rFonts w:asciiTheme="minorHAnsi" w:hAnsiTheme="minorHAnsi" w:cstheme="minorHAnsi"/>
          <w:szCs w:val="24"/>
        </w:rPr>
        <w:t>Substitutivo nº01 ao Projeto de Lei nº 57/2022</w:t>
      </w:r>
      <w:r w:rsidR="001708EF">
        <w:rPr>
          <w:rFonts w:asciiTheme="minorHAnsi" w:hAnsiTheme="minorHAnsi" w:cstheme="minorHAns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RPr="00CE118C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Pr="00CE118C" w:rsidR="00CE118C">
        <w:rPr>
          <w:rFonts w:ascii="Calibri" w:hAnsi="Calibri" w:cs="Calibri"/>
          <w:szCs w:val="24"/>
        </w:rPr>
        <w:t>23</w:t>
      </w:r>
      <w:r w:rsidRPr="00CE118C">
        <w:rPr>
          <w:rFonts w:ascii="Calibri" w:hAnsi="Calibri" w:cs="Calibri"/>
          <w:szCs w:val="24"/>
        </w:rPr>
        <w:t xml:space="preserve"> de </w:t>
      </w:r>
      <w:r w:rsidRPr="00CE118C" w:rsidR="006F165C">
        <w:rPr>
          <w:rFonts w:ascii="Calibri" w:hAnsi="Calibri" w:cs="Calibri"/>
          <w:szCs w:val="24"/>
        </w:rPr>
        <w:t>janeiro</w:t>
      </w:r>
      <w:r w:rsidRPr="00CE118C">
        <w:rPr>
          <w:rFonts w:ascii="Calibri" w:hAnsi="Calibri" w:cs="Calibri"/>
          <w:szCs w:val="24"/>
        </w:rPr>
        <w:t xml:space="preserve"> de 202</w:t>
      </w:r>
      <w:r w:rsidRPr="00CE118C" w:rsidR="006F165C">
        <w:rPr>
          <w:rFonts w:ascii="Calibri" w:hAnsi="Calibri" w:cs="Calibri"/>
          <w:szCs w:val="24"/>
        </w:rPr>
        <w:t>3</w:t>
      </w:r>
      <w:r w:rsidRPr="00CE118C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Tiago Fadel Malghosian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F165C">
        <w:rPr>
          <w:rFonts w:ascii="Calibri" w:hAnsi="Calibri" w:cs="Calibri"/>
          <w:b/>
          <w:szCs w:val="24"/>
        </w:rPr>
        <w:t xml:space="preserve">a - OAB/SP </w:t>
      </w:r>
      <w:r w:rsidR="00E31B26">
        <w:rPr>
          <w:rFonts w:ascii="Calibri" w:hAnsi="Calibri" w:cs="Calibri"/>
          <w:b/>
          <w:szCs w:val="24"/>
        </w:rPr>
        <w:t>nº</w:t>
      </w:r>
      <w:r w:rsidR="006F165C">
        <w:rPr>
          <w:rFonts w:ascii="Calibri" w:hAnsi="Calibri" w:cs="Calibri"/>
          <w:b/>
          <w:szCs w:val="24"/>
        </w:rPr>
        <w:t>319.</w:t>
      </w:r>
      <w:r w:rsidR="006F165C">
        <w:rPr>
          <w:rFonts w:ascii="Calibri" w:hAnsi="Calibri" w:cs="Calibri"/>
          <w:b/>
          <w:szCs w:val="24"/>
        </w:rPr>
        <w:t>159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5163A4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5163A4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5163A4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5163A4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5163A4" w:rsidP="00305026">
            <w:pPr>
              <w:pStyle w:val="Footer"/>
              <w:ind w:left="-1985" w:right="-313"/>
              <w:jc w:val="center"/>
            </w:pPr>
          </w:p>
          <w:p w:rsidR="005163A4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91C6F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91C6F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63A4" w:rsidP="00305026">
    <w:pPr>
      <w:pStyle w:val="Header"/>
      <w:jc w:val="center"/>
      <w:rPr>
        <w:b/>
        <w:sz w:val="26"/>
        <w:lang w:val="pt-PT"/>
      </w:rPr>
    </w:pPr>
  </w:p>
  <w:p w:rsidR="005163A4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3A4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9095312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713183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599190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163A4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634044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420503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163A4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163A4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5163A4" w:rsidP="00305026">
    <w:pPr>
      <w:pStyle w:val="Header"/>
      <w:jc w:val="center"/>
      <w:rPr>
        <w:sz w:val="20"/>
        <w:lang w:val="pt-PT"/>
      </w:rPr>
    </w:pPr>
  </w:p>
  <w:p w:rsidR="005163A4" w:rsidP="00305026">
    <w:pPr>
      <w:pStyle w:val="Header"/>
      <w:jc w:val="center"/>
      <w:rPr>
        <w:sz w:val="20"/>
        <w:lang w:val="pt-PT"/>
      </w:rPr>
    </w:pPr>
  </w:p>
  <w:p w:rsidR="005163A4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35153"/>
    <w:rsid w:val="000473D6"/>
    <w:rsid w:val="000575E2"/>
    <w:rsid w:val="000A5422"/>
    <w:rsid w:val="00116C2C"/>
    <w:rsid w:val="001708EF"/>
    <w:rsid w:val="00185E77"/>
    <w:rsid w:val="001B56D5"/>
    <w:rsid w:val="001D63E7"/>
    <w:rsid w:val="001D6A14"/>
    <w:rsid w:val="00222C85"/>
    <w:rsid w:val="002332AB"/>
    <w:rsid w:val="00235BF6"/>
    <w:rsid w:val="002F41B0"/>
    <w:rsid w:val="00305026"/>
    <w:rsid w:val="0032224F"/>
    <w:rsid w:val="00353DD1"/>
    <w:rsid w:val="0035695C"/>
    <w:rsid w:val="00365F3A"/>
    <w:rsid w:val="003A712F"/>
    <w:rsid w:val="003A7521"/>
    <w:rsid w:val="003D4024"/>
    <w:rsid w:val="003E1CF9"/>
    <w:rsid w:val="00431C9A"/>
    <w:rsid w:val="00496CD5"/>
    <w:rsid w:val="004B1794"/>
    <w:rsid w:val="005163A4"/>
    <w:rsid w:val="00565D77"/>
    <w:rsid w:val="00591C6F"/>
    <w:rsid w:val="005D402B"/>
    <w:rsid w:val="005D6203"/>
    <w:rsid w:val="00621BFC"/>
    <w:rsid w:val="00626A4F"/>
    <w:rsid w:val="00646BC4"/>
    <w:rsid w:val="006E6F69"/>
    <w:rsid w:val="006F165C"/>
    <w:rsid w:val="006F4218"/>
    <w:rsid w:val="007338C1"/>
    <w:rsid w:val="00743FE1"/>
    <w:rsid w:val="00756234"/>
    <w:rsid w:val="0078016A"/>
    <w:rsid w:val="00783082"/>
    <w:rsid w:val="007B5A05"/>
    <w:rsid w:val="007D2626"/>
    <w:rsid w:val="00813294"/>
    <w:rsid w:val="0082204D"/>
    <w:rsid w:val="0087598C"/>
    <w:rsid w:val="008A7D22"/>
    <w:rsid w:val="00933CA9"/>
    <w:rsid w:val="009C7616"/>
    <w:rsid w:val="009D2232"/>
    <w:rsid w:val="00A11C58"/>
    <w:rsid w:val="00A3393A"/>
    <w:rsid w:val="00A33C8A"/>
    <w:rsid w:val="00A779B8"/>
    <w:rsid w:val="00AC33D2"/>
    <w:rsid w:val="00AF01F9"/>
    <w:rsid w:val="00BD076E"/>
    <w:rsid w:val="00BE6AF5"/>
    <w:rsid w:val="00C15DC4"/>
    <w:rsid w:val="00C2365D"/>
    <w:rsid w:val="00C40D18"/>
    <w:rsid w:val="00CC06A8"/>
    <w:rsid w:val="00CE118C"/>
    <w:rsid w:val="00D01A07"/>
    <w:rsid w:val="00D13CCD"/>
    <w:rsid w:val="00D262DC"/>
    <w:rsid w:val="00D3018D"/>
    <w:rsid w:val="00D4238B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E71E8"/>
    <w:rsid w:val="00F13634"/>
    <w:rsid w:val="00F33184"/>
    <w:rsid w:val="00F439F6"/>
    <w:rsid w:val="00F512FB"/>
    <w:rsid w:val="00F53BEF"/>
    <w:rsid w:val="00F56D5F"/>
    <w:rsid w:val="00F648BB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73</cp:revision>
  <dcterms:created xsi:type="dcterms:W3CDTF">2023-01-23T12:39:00Z</dcterms:created>
  <dcterms:modified xsi:type="dcterms:W3CDTF">2023-01-23T18:12:00Z</dcterms:modified>
</cp:coreProperties>
</file>