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B07759" w:rsidP="00A779B8">
      <w:pPr>
        <w:pStyle w:val="Default"/>
        <w:jc w:val="both"/>
        <w:rPr>
          <w:rFonts w:ascii="Calibri" w:eastAsia="Times New Roman" w:hAnsi="Calibri" w:cs="Calibri"/>
          <w:bCs/>
          <w:color w:val="auto"/>
        </w:rPr>
      </w:pPr>
      <w:r w:rsidRPr="00B07759">
        <w:rPr>
          <w:rFonts w:ascii="Calibri" w:hAnsi="Calibri" w:cs="Calibri"/>
          <w:b/>
          <w:color w:val="auto"/>
        </w:rPr>
        <w:t>Parecer Jurídico nº</w:t>
      </w:r>
      <w:r w:rsidRPr="00B07759" w:rsidR="00F50ADA">
        <w:rPr>
          <w:rFonts w:ascii="Calibri" w:hAnsi="Calibri" w:cs="Calibri"/>
          <w:b/>
          <w:color w:val="auto"/>
        </w:rPr>
        <w:t xml:space="preserve"> </w:t>
      </w:r>
      <w:r w:rsidRPr="00B07759" w:rsidR="00B07759">
        <w:rPr>
          <w:rFonts w:ascii="Calibri" w:hAnsi="Calibri" w:cs="Calibri"/>
          <w:b/>
          <w:color w:val="auto"/>
        </w:rPr>
        <w:t>4</w:t>
      </w:r>
      <w:r w:rsidR="004B059A">
        <w:rPr>
          <w:rFonts w:ascii="Calibri" w:hAnsi="Calibri" w:cs="Calibri"/>
          <w:b/>
          <w:color w:val="auto"/>
        </w:rPr>
        <w:t>50</w:t>
      </w:r>
      <w:r w:rsidRPr="00B07759">
        <w:rPr>
          <w:rFonts w:ascii="Calibri" w:hAnsi="Calibri" w:cs="Calibri"/>
          <w:b/>
          <w:color w:val="auto"/>
        </w:rPr>
        <w:t>/2022.</w:t>
      </w:r>
    </w:p>
    <w:p w:rsidR="008E7095" w:rsidRPr="005130B0" w:rsidP="0023693B">
      <w:pPr>
        <w:spacing w:after="0" w:line="240" w:lineRule="auto"/>
        <w:jc w:val="both"/>
        <w:rPr>
          <w:rFonts w:eastAsia="Calibri" w:asciiTheme="minorHAnsi" w:hAnsiTheme="minorHAnsi" w:cstheme="minorHAnsi"/>
          <w:szCs w:val="24"/>
        </w:rPr>
      </w:pPr>
      <w:r w:rsidRPr="00DA5745">
        <w:rPr>
          <w:rFonts w:ascii="Calibri" w:hAnsi="Calibri" w:cs="Calibri"/>
          <w:b/>
          <w:bCs/>
          <w:szCs w:val="24"/>
        </w:rPr>
        <w:t xml:space="preserve">Assunto: </w:t>
      </w:r>
      <w:r>
        <w:rPr>
          <w:rFonts w:ascii="Calibri" w:hAnsi="Calibri" w:cs="Calibri"/>
          <w:b/>
          <w:bCs/>
          <w:szCs w:val="24"/>
        </w:rPr>
        <w:t>Emenda 0</w:t>
      </w:r>
      <w:r w:rsidR="004B059A">
        <w:rPr>
          <w:rFonts w:ascii="Calibri" w:hAnsi="Calibri" w:cs="Calibri"/>
          <w:b/>
          <w:bCs/>
          <w:szCs w:val="24"/>
        </w:rPr>
        <w:t>1</w:t>
      </w:r>
      <w:r>
        <w:rPr>
          <w:rFonts w:ascii="Calibri" w:hAnsi="Calibri" w:cs="Calibri"/>
          <w:b/>
          <w:bCs/>
          <w:szCs w:val="24"/>
        </w:rPr>
        <w:t xml:space="preserve"> ao</w:t>
      </w:r>
      <w:r w:rsidR="00FC140B">
        <w:rPr>
          <w:rFonts w:ascii="Calibri" w:hAnsi="Calibri" w:cs="Calibri"/>
          <w:b/>
          <w:bCs/>
          <w:szCs w:val="24"/>
        </w:rPr>
        <w:t xml:space="preserve"> </w:t>
      </w:r>
      <w:r w:rsidRPr="00230814" w:rsidR="00FC140B">
        <w:rPr>
          <w:rFonts w:ascii="Calibri" w:hAnsi="Calibri" w:cs="Calibri"/>
          <w:b/>
          <w:bCs/>
        </w:rPr>
        <w:t xml:space="preserve">Projeto de Lei nº </w:t>
      </w:r>
      <w:r w:rsidR="005130B0">
        <w:rPr>
          <w:rFonts w:ascii="Calibri" w:hAnsi="Calibri" w:cs="Calibri"/>
          <w:b/>
          <w:bCs/>
        </w:rPr>
        <w:t>2</w:t>
      </w:r>
      <w:r w:rsidR="004B059A">
        <w:rPr>
          <w:rFonts w:ascii="Calibri" w:hAnsi="Calibri" w:cs="Calibri"/>
          <w:b/>
          <w:bCs/>
        </w:rPr>
        <w:t>25</w:t>
      </w:r>
      <w:r>
        <w:rPr>
          <w:rFonts w:ascii="Calibri" w:hAnsi="Calibri" w:cs="Calibri"/>
          <w:b/>
          <w:bCs/>
        </w:rPr>
        <w:t>/</w:t>
      </w:r>
      <w:r w:rsidR="001604ED">
        <w:rPr>
          <w:rFonts w:ascii="Calibri" w:hAnsi="Calibri" w:cs="Calibri"/>
          <w:b/>
          <w:bCs/>
        </w:rPr>
        <w:t>2022</w:t>
      </w:r>
      <w:r w:rsidR="0023693B">
        <w:rPr>
          <w:rFonts w:ascii="Calibri" w:hAnsi="Calibri" w:cs="Calibri"/>
          <w:b/>
          <w:bCs/>
        </w:rPr>
        <w:t xml:space="preserve"> </w:t>
      </w:r>
      <w:r w:rsidRPr="0023693B" w:rsidR="0023693B">
        <w:rPr>
          <w:rFonts w:ascii="Calibri" w:hAnsi="Calibri" w:cs="Calibri"/>
          <w:bCs/>
        </w:rPr>
        <w:t xml:space="preserve">que </w:t>
      </w:r>
      <w:r w:rsidRPr="005130B0" w:rsidR="005130B0">
        <w:rPr>
          <w:rFonts w:eastAsia="Calibri" w:asciiTheme="minorHAnsi" w:hAnsiTheme="minorHAnsi" w:cstheme="minorHAnsi"/>
          <w:i/>
          <w:color w:val="000000"/>
          <w:szCs w:val="24"/>
        </w:rPr>
        <w:t>“</w:t>
      </w:r>
      <w:r w:rsidRPr="004B059A" w:rsidR="004B059A">
        <w:rPr>
          <w:rFonts w:ascii="Calibri" w:hAnsi="Calibri" w:cs="Calibri"/>
          <w:bCs/>
        </w:rPr>
        <w:t>Dispõe sobre autorização ao executivo municipal para outorgar concessão de serviço público referente a prestação de serviço de administração, gerenciamento, controle e operação de pátio municipal de retenção de veículos objeto de infração de trânsito, e dá outras providências</w:t>
      </w:r>
      <w:r w:rsidRPr="005130B0">
        <w:rPr>
          <w:rFonts w:eastAsia="Calibri" w:asciiTheme="minorHAnsi" w:hAnsiTheme="minorHAnsi" w:cstheme="minorHAnsi"/>
          <w:color w:val="000000"/>
          <w:szCs w:val="24"/>
        </w:rPr>
        <w:t xml:space="preserve">”. </w:t>
      </w:r>
    </w:p>
    <w:p w:rsidR="00A779B8" w:rsidP="006B0A89">
      <w:pPr>
        <w:spacing w:after="0" w:line="240" w:lineRule="auto"/>
        <w:jc w:val="both"/>
        <w:rPr>
          <w:rFonts w:ascii="Calibri" w:hAnsi="Calibri" w:cs="Calibri"/>
          <w:b/>
          <w:bCs/>
          <w:szCs w:val="24"/>
        </w:rPr>
      </w:pPr>
      <w:r>
        <w:rPr>
          <w:rFonts w:ascii="Calibri" w:hAnsi="Calibri" w:cs="Calibri"/>
          <w:b/>
          <w:bCs/>
        </w:rPr>
        <w:t>Emenda de a</w:t>
      </w:r>
      <w:r w:rsidR="0023693B">
        <w:rPr>
          <w:rFonts w:ascii="Calibri" w:hAnsi="Calibri" w:cs="Calibri"/>
          <w:b/>
          <w:bCs/>
          <w:szCs w:val="24"/>
        </w:rPr>
        <w:t xml:space="preserve">utoria </w:t>
      </w:r>
      <w:r w:rsidRPr="004B059A" w:rsidR="00393948">
        <w:rPr>
          <w:rFonts w:ascii="Calibri" w:hAnsi="Calibri" w:cs="Calibri"/>
          <w:b/>
          <w:bCs/>
        </w:rPr>
        <w:t xml:space="preserve">da </w:t>
      </w:r>
      <w:r w:rsidRPr="004B059A" w:rsidR="004B059A">
        <w:rPr>
          <w:rFonts w:ascii="Calibri" w:hAnsi="Calibri" w:cs="Calibri"/>
          <w:b/>
          <w:bCs/>
        </w:rPr>
        <w:t>Comissão de Justiça e Redação</w:t>
      </w:r>
    </w:p>
    <w:p w:rsidR="0001147D" w:rsidP="006B0A89">
      <w:pPr>
        <w:spacing w:after="0" w:line="240" w:lineRule="auto"/>
        <w:jc w:val="both"/>
        <w:rPr>
          <w:rFonts w:ascii="Calibri" w:hAnsi="Calibri" w:cs="Calibri"/>
          <w:b/>
          <w:bCs/>
          <w:szCs w:val="24"/>
        </w:rPr>
      </w:pPr>
    </w:p>
    <w:p w:rsidR="0001147D" w:rsidP="006B0A89">
      <w:pPr>
        <w:spacing w:after="0" w:line="240" w:lineRule="auto"/>
        <w:jc w:val="both"/>
        <w:rPr>
          <w:rFonts w:ascii="Calibri" w:hAnsi="Calibri" w:cs="Calibri"/>
          <w:b/>
          <w:bCs/>
          <w:szCs w:val="24"/>
        </w:rPr>
      </w:pPr>
    </w:p>
    <w:p w:rsidR="00A779B8" w:rsidP="00A779B8">
      <w:pPr>
        <w:pStyle w:val="Default"/>
        <w:jc w:val="both"/>
        <w:rPr>
          <w:rFonts w:ascii="Calibri" w:hAnsi="Calibri" w:cs="Calibri"/>
          <w:b/>
          <w:i/>
          <w:color w:val="auto"/>
        </w:rPr>
      </w:pPr>
    </w:p>
    <w:p w:rsidR="004B059A"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4B059A" w:rsidP="00A779B8">
      <w:pPr>
        <w:pStyle w:val="Default"/>
        <w:jc w:val="both"/>
        <w:rPr>
          <w:rFonts w:ascii="Calibri" w:hAnsi="Calibri" w:cs="Calibri"/>
          <w:b/>
          <w:i/>
          <w:color w:val="auto"/>
        </w:rPr>
      </w:pPr>
    </w:p>
    <w:p w:rsidR="00A779B8" w:rsidRPr="00C77421" w:rsidP="00A779B8">
      <w:pPr>
        <w:pStyle w:val="Default"/>
        <w:spacing w:after="120" w:line="360" w:lineRule="auto"/>
        <w:jc w:val="both"/>
        <w:rPr>
          <w:rFonts w:asciiTheme="minorHAnsi" w:hAnsiTheme="minorHAnsi" w:cstheme="minorHAnsi"/>
          <w:color w:val="auto"/>
          <w:sz w:val="12"/>
          <w:szCs w:val="12"/>
        </w:rPr>
      </w:pPr>
    </w:p>
    <w:p w:rsidR="008E7095" w:rsidP="008E7095">
      <w:pPr>
        <w:pStyle w:val="Default"/>
        <w:spacing w:after="240" w:line="360" w:lineRule="auto"/>
        <w:ind w:firstLine="2268"/>
        <w:jc w:val="both"/>
        <w:rPr>
          <w:rFonts w:asciiTheme="minorHAnsi" w:hAnsiTheme="minorHAnsi" w:cstheme="minorHAnsi"/>
        </w:rPr>
      </w:pPr>
      <w:r w:rsidRPr="00C77421">
        <w:rPr>
          <w:rFonts w:asciiTheme="minorHAnsi" w:hAnsiTheme="minorHAnsi" w:cstheme="minorHAnsi"/>
          <w:color w:val="auto"/>
        </w:rPr>
        <w:t>Trata-se de parecer jurídico relativo à emenda em epígrafe que</w:t>
      </w:r>
      <w:r w:rsidRPr="00C77421" w:rsidR="0023693B">
        <w:rPr>
          <w:rFonts w:asciiTheme="minorHAnsi" w:hAnsiTheme="minorHAnsi" w:cstheme="minorHAnsi"/>
          <w:color w:val="auto"/>
        </w:rPr>
        <w:t xml:space="preserve"> </w:t>
      </w:r>
      <w:r w:rsidRPr="00C77421" w:rsidR="006B0A89">
        <w:rPr>
          <w:rFonts w:asciiTheme="minorHAnsi" w:hAnsiTheme="minorHAnsi" w:cstheme="minorHAnsi"/>
          <w:color w:val="auto"/>
        </w:rPr>
        <w:t xml:space="preserve">visa </w:t>
      </w:r>
      <w:r w:rsidR="00393948">
        <w:rPr>
          <w:rFonts w:asciiTheme="minorHAnsi" w:hAnsiTheme="minorHAnsi" w:cstheme="minorHAnsi"/>
          <w:color w:val="auto"/>
        </w:rPr>
        <w:t xml:space="preserve">alterar a redação do </w:t>
      </w:r>
      <w:r w:rsidRPr="00393948" w:rsidR="00393948">
        <w:rPr>
          <w:rFonts w:asciiTheme="minorHAnsi" w:hAnsiTheme="minorHAnsi" w:cstheme="minorHAnsi"/>
          <w:color w:val="auto"/>
        </w:rPr>
        <w:t xml:space="preserve">art. </w:t>
      </w:r>
      <w:r w:rsidR="004B059A">
        <w:rPr>
          <w:rFonts w:asciiTheme="minorHAnsi" w:hAnsiTheme="minorHAnsi" w:cstheme="minorHAnsi"/>
          <w:color w:val="auto"/>
        </w:rPr>
        <w:t xml:space="preserve">3º </w:t>
      </w:r>
      <w:r w:rsidRPr="00393948" w:rsidR="00393948">
        <w:rPr>
          <w:rFonts w:asciiTheme="minorHAnsi" w:hAnsiTheme="minorHAnsi" w:cstheme="minorHAnsi"/>
          <w:color w:val="auto"/>
        </w:rPr>
        <w:t>do</w:t>
      </w:r>
      <w:r w:rsidR="005130B0">
        <w:rPr>
          <w:rFonts w:asciiTheme="minorHAnsi" w:hAnsiTheme="minorHAnsi" w:cstheme="minorHAnsi"/>
          <w:color w:val="auto"/>
        </w:rPr>
        <w:t xml:space="preserve"> </w:t>
      </w:r>
      <w:r w:rsidRPr="00393948">
        <w:rPr>
          <w:rFonts w:asciiTheme="minorHAnsi" w:hAnsiTheme="minorHAnsi" w:cstheme="minorHAnsi"/>
          <w:color w:val="auto"/>
        </w:rPr>
        <w:t>Projeto de Lei nº</w:t>
      </w:r>
      <w:r w:rsidR="004B059A">
        <w:rPr>
          <w:rFonts w:asciiTheme="minorHAnsi" w:hAnsiTheme="minorHAnsi" w:cstheme="minorHAnsi"/>
          <w:color w:val="auto"/>
        </w:rPr>
        <w:t xml:space="preserve"> </w:t>
      </w:r>
      <w:r w:rsidRPr="00393948" w:rsidR="005130B0">
        <w:rPr>
          <w:rFonts w:asciiTheme="minorHAnsi" w:hAnsiTheme="minorHAnsi" w:cstheme="minorHAnsi"/>
          <w:color w:val="auto"/>
        </w:rPr>
        <w:t>2</w:t>
      </w:r>
      <w:r w:rsidR="004B059A">
        <w:rPr>
          <w:rFonts w:asciiTheme="minorHAnsi" w:hAnsiTheme="minorHAnsi" w:cstheme="minorHAnsi"/>
          <w:color w:val="auto"/>
        </w:rPr>
        <w:t>25/</w:t>
      </w:r>
      <w:r w:rsidRPr="00393948" w:rsidR="005130B0">
        <w:rPr>
          <w:rFonts w:asciiTheme="minorHAnsi" w:hAnsiTheme="minorHAnsi" w:cstheme="minorHAnsi"/>
          <w:color w:val="auto"/>
        </w:rPr>
        <w:t>2022 que</w:t>
      </w:r>
      <w:r w:rsidRPr="0023693B" w:rsidR="005130B0">
        <w:rPr>
          <w:rFonts w:ascii="Calibri" w:hAnsi="Calibri" w:cs="Calibri"/>
          <w:bCs/>
        </w:rPr>
        <w:t xml:space="preserve"> </w:t>
      </w:r>
      <w:r w:rsidRPr="004B059A" w:rsidR="005130B0">
        <w:rPr>
          <w:rFonts w:asciiTheme="minorHAnsi" w:hAnsiTheme="minorHAnsi" w:cstheme="minorHAnsi"/>
          <w:i/>
        </w:rPr>
        <w:t>“</w:t>
      </w:r>
      <w:r w:rsidRPr="004B059A" w:rsidR="004B059A">
        <w:rPr>
          <w:rFonts w:ascii="Calibri" w:eastAsia="Times New Roman" w:hAnsi="Calibri" w:cs="Calibri"/>
          <w:bCs/>
          <w:i/>
          <w:szCs w:val="20"/>
        </w:rPr>
        <w:t>Dispõe sobre autorização ao executivo municipal para outorgar concessão de serviço público referente a prestação de serviço de administração, gerenciamento, controle e operação de pátio municipal de retenção de veículos objeto de infração de trânsito, e dá outras providências</w:t>
      </w:r>
      <w:r w:rsidRPr="004B059A" w:rsidR="005130B0">
        <w:rPr>
          <w:rFonts w:asciiTheme="minorHAnsi" w:hAnsiTheme="minorHAnsi" w:cstheme="minorHAnsi"/>
          <w:i/>
        </w:rPr>
        <w:t>”</w:t>
      </w:r>
      <w:r w:rsidRPr="004B059A">
        <w:rPr>
          <w:rFonts w:asciiTheme="minorHAnsi" w:hAnsiTheme="minorHAnsi" w:cstheme="minorHAnsi"/>
          <w:i/>
        </w:rPr>
        <w:t>,</w:t>
      </w:r>
      <w:r>
        <w:rPr>
          <w:rFonts w:asciiTheme="minorHAnsi" w:hAnsiTheme="minorHAnsi" w:cstheme="minorHAnsi"/>
          <w:i/>
        </w:rPr>
        <w:t xml:space="preserve"> </w:t>
      </w:r>
      <w:r w:rsidR="00393948">
        <w:rPr>
          <w:rFonts w:asciiTheme="minorHAnsi" w:hAnsiTheme="minorHAnsi" w:cstheme="minorHAnsi"/>
        </w:rPr>
        <w:t>nos seguintes termos</w:t>
      </w:r>
      <w:r w:rsidRPr="005945EE">
        <w:rPr>
          <w:rFonts w:asciiTheme="minorHAnsi" w:hAnsiTheme="minorHAnsi" w:cstheme="minorHAnsi"/>
        </w:rPr>
        <w:t>:</w:t>
      </w:r>
    </w:p>
    <w:tbl>
      <w:tblPr>
        <w:tblStyle w:val="TableGrid"/>
        <w:tblW w:w="8613" w:type="dxa"/>
        <w:tblLayout w:type="fixed"/>
        <w:tblLook w:val="04A0"/>
      </w:tblPr>
      <w:tblGrid>
        <w:gridCol w:w="4219"/>
        <w:gridCol w:w="4394"/>
      </w:tblGrid>
      <w:tr w:rsidTr="00393948">
        <w:tblPrEx>
          <w:tblW w:w="8613" w:type="dxa"/>
          <w:tblLayout w:type="fixed"/>
          <w:tblLook w:val="04A0"/>
        </w:tblPrEx>
        <w:tc>
          <w:tcPr>
            <w:tcW w:w="4219" w:type="dxa"/>
            <w:vAlign w:val="center"/>
          </w:tcPr>
          <w:p w:rsidR="00393948" w:rsidP="00393948">
            <w:pPr>
              <w:tabs>
                <w:tab w:val="left" w:pos="1701"/>
              </w:tabs>
              <w:jc w:val="center"/>
              <w:rPr>
                <w:rFonts w:asciiTheme="minorHAnsi" w:hAnsiTheme="minorHAnsi" w:cstheme="minorHAnsi"/>
                <w:b/>
                <w:szCs w:val="24"/>
              </w:rPr>
            </w:pPr>
          </w:p>
          <w:p w:rsidR="00393948" w:rsidP="00393948">
            <w:pPr>
              <w:tabs>
                <w:tab w:val="left" w:pos="1701"/>
              </w:tabs>
              <w:jc w:val="center"/>
              <w:rPr>
                <w:rFonts w:asciiTheme="minorHAnsi" w:hAnsiTheme="minorHAnsi" w:cstheme="minorHAnsi"/>
                <w:b/>
                <w:szCs w:val="24"/>
              </w:rPr>
            </w:pPr>
            <w:r w:rsidRPr="00E3557F">
              <w:rPr>
                <w:rFonts w:asciiTheme="minorHAnsi" w:hAnsiTheme="minorHAnsi" w:cstheme="minorHAnsi"/>
                <w:b/>
                <w:szCs w:val="24"/>
              </w:rPr>
              <w:t xml:space="preserve">Projeto de Lei nº </w:t>
            </w:r>
            <w:r w:rsidR="004B059A">
              <w:rPr>
                <w:rFonts w:asciiTheme="minorHAnsi" w:hAnsiTheme="minorHAnsi" w:cstheme="minorHAnsi"/>
                <w:b/>
                <w:szCs w:val="24"/>
              </w:rPr>
              <w:t>225</w:t>
            </w:r>
            <w:r w:rsidRPr="00E3557F">
              <w:rPr>
                <w:rFonts w:asciiTheme="minorHAnsi" w:hAnsiTheme="minorHAnsi" w:cstheme="minorHAnsi"/>
                <w:b/>
                <w:szCs w:val="24"/>
              </w:rPr>
              <w:t>/202</w:t>
            </w:r>
            <w:r>
              <w:rPr>
                <w:rFonts w:asciiTheme="minorHAnsi" w:hAnsiTheme="minorHAnsi" w:cstheme="minorHAnsi"/>
                <w:b/>
                <w:szCs w:val="24"/>
              </w:rPr>
              <w:t>2</w:t>
            </w:r>
          </w:p>
          <w:p w:rsidR="00393948" w:rsidRPr="00E3557F" w:rsidP="00393948">
            <w:pPr>
              <w:tabs>
                <w:tab w:val="left" w:pos="1701"/>
              </w:tabs>
              <w:jc w:val="center"/>
              <w:rPr>
                <w:rFonts w:asciiTheme="minorHAnsi" w:hAnsiTheme="minorHAnsi" w:cstheme="minorHAnsi"/>
                <w:b/>
                <w:szCs w:val="24"/>
              </w:rPr>
            </w:pPr>
          </w:p>
        </w:tc>
        <w:tc>
          <w:tcPr>
            <w:tcW w:w="4394" w:type="dxa"/>
            <w:vAlign w:val="center"/>
          </w:tcPr>
          <w:p w:rsidR="00393948" w:rsidP="00393948">
            <w:pPr>
              <w:tabs>
                <w:tab w:val="left" w:pos="1701"/>
              </w:tabs>
              <w:jc w:val="center"/>
              <w:rPr>
                <w:rFonts w:asciiTheme="minorHAnsi" w:hAnsiTheme="minorHAnsi" w:cstheme="minorHAnsi"/>
                <w:b/>
                <w:szCs w:val="24"/>
              </w:rPr>
            </w:pPr>
            <w:r>
              <w:rPr>
                <w:rFonts w:asciiTheme="minorHAnsi" w:hAnsiTheme="minorHAnsi" w:cstheme="minorHAnsi"/>
                <w:b/>
                <w:szCs w:val="24"/>
              </w:rPr>
              <w:t>Alteração proposta pela</w:t>
            </w:r>
          </w:p>
          <w:p w:rsidR="00393948" w:rsidRPr="00E3557F" w:rsidP="00393948">
            <w:pPr>
              <w:tabs>
                <w:tab w:val="left" w:pos="1701"/>
              </w:tabs>
              <w:jc w:val="center"/>
              <w:rPr>
                <w:rFonts w:asciiTheme="minorHAnsi" w:hAnsiTheme="minorHAnsi" w:cstheme="minorHAnsi"/>
                <w:b/>
                <w:szCs w:val="24"/>
              </w:rPr>
            </w:pPr>
            <w:r>
              <w:rPr>
                <w:rFonts w:asciiTheme="minorHAnsi" w:hAnsiTheme="minorHAnsi" w:cstheme="minorHAnsi"/>
                <w:b/>
                <w:szCs w:val="24"/>
              </w:rPr>
              <w:t xml:space="preserve"> Emenda 01</w:t>
            </w:r>
          </w:p>
        </w:tc>
      </w:tr>
      <w:tr w:rsidTr="00393948">
        <w:tblPrEx>
          <w:tblW w:w="8613" w:type="dxa"/>
          <w:tblLayout w:type="fixed"/>
          <w:tblLook w:val="04A0"/>
        </w:tblPrEx>
        <w:tc>
          <w:tcPr>
            <w:tcW w:w="4219" w:type="dxa"/>
          </w:tcPr>
          <w:p w:rsidR="004B059A" w:rsidP="004B059A">
            <w:pPr>
              <w:spacing w:line="276" w:lineRule="auto"/>
              <w:ind w:left="34"/>
              <w:jc w:val="both"/>
              <w:rPr>
                <w:rFonts w:asciiTheme="minorHAnsi" w:hAnsiTheme="minorHAnsi" w:cstheme="minorHAnsi"/>
                <w:b/>
                <w:sz w:val="22"/>
                <w:szCs w:val="22"/>
                <w:shd w:val="clear" w:color="auto" w:fill="FFFFFF"/>
              </w:rPr>
            </w:pPr>
          </w:p>
          <w:p w:rsidR="00DB35AA" w:rsidRPr="004B059A" w:rsidP="004B059A">
            <w:pPr>
              <w:spacing w:line="276" w:lineRule="auto"/>
              <w:ind w:left="34"/>
              <w:jc w:val="both"/>
              <w:rPr>
                <w:rFonts w:asciiTheme="minorHAnsi" w:hAnsiTheme="minorHAnsi" w:cstheme="minorHAnsi"/>
                <w:sz w:val="22"/>
                <w:szCs w:val="22"/>
                <w:shd w:val="clear" w:color="auto" w:fill="FFFFFF"/>
              </w:rPr>
            </w:pPr>
            <w:r w:rsidRPr="004B059A">
              <w:rPr>
                <w:rFonts w:asciiTheme="minorHAnsi" w:hAnsiTheme="minorHAnsi" w:cstheme="minorHAnsi"/>
                <w:b/>
                <w:sz w:val="22"/>
                <w:szCs w:val="22"/>
                <w:shd w:val="clear" w:color="auto" w:fill="FFFFFF"/>
              </w:rPr>
              <w:t>Art. 3º</w:t>
            </w:r>
            <w:r w:rsidRPr="004B059A">
              <w:rPr>
                <w:rFonts w:asciiTheme="minorHAnsi" w:hAnsiTheme="minorHAnsi" w:cstheme="minorHAnsi"/>
                <w:sz w:val="22"/>
                <w:szCs w:val="22"/>
                <w:shd w:val="clear" w:color="auto" w:fill="FFFFFF"/>
              </w:rPr>
              <w:t xml:space="preserve"> Compete ao secretário da Secretaria de Segurança Pública e Cidadania a autorização para realização de leilões de veículos e objetos retidos no Pátio Municipal, nos termos definidos pelos Códigos de Trânsito Brasileiro e de Processo Civil, </w:t>
            </w:r>
            <w:r w:rsidRPr="004B059A">
              <w:rPr>
                <w:rFonts w:asciiTheme="minorHAnsi" w:hAnsiTheme="minorHAnsi" w:cstheme="minorHAnsi"/>
                <w:b/>
                <w:sz w:val="22"/>
                <w:szCs w:val="22"/>
                <w:shd w:val="clear" w:color="auto" w:fill="FFFFFF"/>
              </w:rPr>
              <w:t>Lei nº 11.105 de 16 de março de 2015</w:t>
            </w:r>
            <w:r w:rsidRPr="004B059A">
              <w:rPr>
                <w:rFonts w:asciiTheme="minorHAnsi" w:hAnsiTheme="minorHAnsi" w:cstheme="minorHAnsi"/>
                <w:sz w:val="22"/>
                <w:szCs w:val="22"/>
                <w:shd w:val="clear" w:color="auto" w:fill="FFFFFF"/>
              </w:rPr>
              <w:t>, e do Decreto</w:t>
            </w:r>
            <w:r>
              <w:rPr>
                <w:rFonts w:asciiTheme="minorHAnsi" w:hAnsiTheme="minorHAnsi" w:cstheme="minorHAnsi"/>
                <w:sz w:val="22"/>
                <w:szCs w:val="22"/>
                <w:shd w:val="clear" w:color="auto" w:fill="FFFFFF"/>
              </w:rPr>
              <w:t xml:space="preserve"> </w:t>
            </w:r>
            <w:r w:rsidRPr="004B059A">
              <w:rPr>
                <w:rFonts w:asciiTheme="minorHAnsi" w:hAnsiTheme="minorHAnsi" w:cstheme="minorHAnsi"/>
                <w:sz w:val="22"/>
                <w:szCs w:val="22"/>
                <w:shd w:val="clear" w:color="auto" w:fill="FFFFFF"/>
              </w:rPr>
              <w:t>que regulamentará esta lei.</w:t>
            </w:r>
          </w:p>
        </w:tc>
        <w:tc>
          <w:tcPr>
            <w:tcW w:w="4394" w:type="dxa"/>
          </w:tcPr>
          <w:p w:rsidR="004B059A" w:rsidP="004B059A">
            <w:pPr>
              <w:spacing w:line="276" w:lineRule="auto"/>
              <w:ind w:left="34"/>
              <w:jc w:val="both"/>
              <w:rPr>
                <w:rFonts w:asciiTheme="minorHAnsi" w:hAnsiTheme="minorHAnsi" w:cstheme="minorHAnsi"/>
                <w:b/>
                <w:sz w:val="22"/>
                <w:szCs w:val="22"/>
                <w:shd w:val="clear" w:color="auto" w:fill="FFFFFF"/>
              </w:rPr>
            </w:pPr>
          </w:p>
          <w:p w:rsidR="00DB35AA" w:rsidP="004B059A">
            <w:pPr>
              <w:spacing w:line="276" w:lineRule="auto"/>
              <w:ind w:left="34"/>
              <w:jc w:val="both"/>
              <w:rPr>
                <w:rFonts w:asciiTheme="minorHAnsi" w:hAnsiTheme="minorHAnsi" w:cstheme="minorHAnsi"/>
                <w:sz w:val="22"/>
                <w:szCs w:val="22"/>
                <w:shd w:val="clear" w:color="auto" w:fill="FFFFFF"/>
              </w:rPr>
            </w:pPr>
            <w:r w:rsidRPr="004B059A">
              <w:rPr>
                <w:rFonts w:asciiTheme="minorHAnsi" w:hAnsiTheme="minorHAnsi" w:cstheme="minorHAnsi"/>
                <w:b/>
                <w:sz w:val="22"/>
                <w:szCs w:val="22"/>
                <w:shd w:val="clear" w:color="auto" w:fill="FFFFFF"/>
              </w:rPr>
              <w:t>Art. 3º</w:t>
            </w:r>
            <w:r w:rsidRPr="004B059A">
              <w:rPr>
                <w:rFonts w:asciiTheme="minorHAnsi" w:hAnsiTheme="minorHAnsi" w:cstheme="minorHAnsi"/>
                <w:sz w:val="22"/>
                <w:szCs w:val="22"/>
                <w:shd w:val="clear" w:color="auto" w:fill="FFFFFF"/>
              </w:rPr>
              <w:t xml:space="preserve"> Compete ao secretário da Secretaria de Segurança Pública e Cidadania a autorização para realização de leilões de veículos e objetos retidos no Pátio Municipal, nos termos definidos pelos Códigos de Trânsito Brasileiro e de Processo Civil, </w:t>
            </w:r>
            <w:r w:rsidRPr="004B059A">
              <w:rPr>
                <w:rFonts w:asciiTheme="minorHAnsi" w:hAnsiTheme="minorHAnsi" w:cstheme="minorHAnsi"/>
                <w:b/>
                <w:sz w:val="22"/>
                <w:szCs w:val="22"/>
                <w:shd w:val="clear" w:color="auto" w:fill="FFFFFF"/>
              </w:rPr>
              <w:t>Lei nº 13.105 de 16 de março de 2015,</w:t>
            </w:r>
            <w:r w:rsidRPr="004B059A">
              <w:rPr>
                <w:rFonts w:asciiTheme="minorHAnsi" w:hAnsiTheme="minorHAnsi" w:cstheme="minorHAnsi"/>
                <w:sz w:val="22"/>
                <w:szCs w:val="22"/>
                <w:shd w:val="clear" w:color="auto" w:fill="FFFFFF"/>
              </w:rPr>
              <w:t xml:space="preserve"> e do Decreto </w:t>
            </w:r>
            <w:r w:rsidRPr="004B059A">
              <w:rPr>
                <w:rFonts w:asciiTheme="minorHAnsi" w:hAnsiTheme="minorHAnsi" w:cstheme="minorHAnsi"/>
                <w:sz w:val="22"/>
                <w:szCs w:val="22"/>
              </w:rPr>
              <w:br/>
            </w:r>
            <w:r w:rsidRPr="004B059A">
              <w:rPr>
                <w:rFonts w:asciiTheme="minorHAnsi" w:hAnsiTheme="minorHAnsi" w:cstheme="minorHAnsi"/>
                <w:sz w:val="22"/>
                <w:szCs w:val="22"/>
                <w:shd w:val="clear" w:color="auto" w:fill="FFFFFF"/>
              </w:rPr>
              <w:t>que regulamentará esta lei.</w:t>
            </w:r>
          </w:p>
          <w:p w:rsidR="004B059A" w:rsidRPr="004B059A" w:rsidP="004B059A">
            <w:pPr>
              <w:spacing w:line="276" w:lineRule="auto"/>
              <w:ind w:left="34"/>
              <w:jc w:val="both"/>
              <w:rPr>
                <w:rFonts w:asciiTheme="minorHAnsi" w:hAnsiTheme="minorHAnsi" w:cstheme="minorHAnsi"/>
                <w:i/>
                <w:sz w:val="22"/>
                <w:szCs w:val="22"/>
                <w:shd w:val="clear" w:color="auto" w:fill="FFFFFF"/>
              </w:rPr>
            </w:pPr>
          </w:p>
        </w:tc>
      </w:tr>
    </w:tbl>
    <w:p w:rsidR="00393948" w:rsidP="00A779B8">
      <w:pPr>
        <w:pStyle w:val="Default"/>
        <w:spacing w:after="240" w:line="360" w:lineRule="auto"/>
        <w:ind w:firstLine="2268"/>
        <w:jc w:val="both"/>
        <w:rPr>
          <w:rFonts w:asciiTheme="minorHAnsi" w:hAnsiTheme="minorHAnsi" w:cstheme="minorHAnsi"/>
          <w:i/>
        </w:rPr>
      </w:pP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A779B8">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 xml:space="preserve">Outrossim,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001604ED">
        <w:rPr>
          <w:rFonts w:eastAsia="Calibri" w:asciiTheme="minorHAnsi" w:hAnsiTheme="minorHAnsi" w:cstheme="minorHAnsi"/>
          <w:color w:val="000000"/>
          <w:szCs w:val="24"/>
        </w:rPr>
        <w:t xml:space="preserve"> passamos para</w:t>
      </w:r>
      <w:r w:rsidRPr="00AD09BD">
        <w:rPr>
          <w:rFonts w:eastAsia="Calibri" w:asciiTheme="minorHAnsi" w:hAnsiTheme="minorHAnsi" w:cstheme="minorHAnsi"/>
          <w:color w:val="000000"/>
          <w:szCs w:val="24"/>
        </w:rPr>
        <w:t xml:space="preserve"> análise técnica do projeto em epígrafe solicitado.</w:t>
      </w: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B66742">
      <w:pPr>
        <w:autoSpaceDE w:val="0"/>
        <w:autoSpaceDN w:val="0"/>
        <w:adjustRightInd w:val="0"/>
        <w:spacing w:after="80"/>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1604ED">
        <w:rPr>
          <w:rFonts w:asciiTheme="minorHAnsi" w:hAnsiTheme="minorHAnsi" w:cs="Calibri"/>
          <w:b/>
          <w:i/>
          <w:color w:val="000000"/>
          <w:sz w:val="22"/>
          <w:szCs w:val="22"/>
          <w:u w:val="single"/>
        </w:rPr>
        <w:t>Emenda é a correção apresentada a um dispositivo de projeto de lei ou de resolução.</w:t>
      </w:r>
      <w:r w:rsidRPr="00FC62DB">
        <w:rPr>
          <w:rFonts w:asciiTheme="minorHAnsi" w:hAnsiTheme="minorHAnsi" w:cs="Calibri"/>
          <w:i/>
          <w:color w:val="000000"/>
          <w:sz w:val="22"/>
          <w:szCs w:val="22"/>
          <w:u w:val="single"/>
        </w:rPr>
        <w:t xml:space="preserve"> </w:t>
      </w:r>
    </w:p>
    <w:p w:rsidR="00A779B8" w:rsidRPr="00FC140B" w:rsidP="00B66742">
      <w:pPr>
        <w:autoSpaceDE w:val="0"/>
        <w:autoSpaceDN w:val="0"/>
        <w:adjustRightInd w:val="0"/>
        <w:spacing w:after="80"/>
        <w:ind w:left="2835"/>
        <w:jc w:val="both"/>
        <w:rPr>
          <w:rFonts w:asciiTheme="minorHAnsi" w:hAnsiTheme="minorHAnsi" w:cs="Calibri"/>
          <w:i/>
          <w:color w:val="000000"/>
          <w:sz w:val="22"/>
          <w:szCs w:val="22"/>
        </w:rPr>
      </w:pPr>
      <w:r w:rsidRPr="00FC140B">
        <w:rPr>
          <w:rFonts w:asciiTheme="minorHAnsi" w:hAnsiTheme="minorHAnsi" w:cs="Calibri"/>
          <w:i/>
          <w:color w:val="000000"/>
          <w:sz w:val="22"/>
          <w:szCs w:val="22"/>
        </w:rPr>
        <w:t xml:space="preserve">§ 1º. Emenda supressiva é a que manda suprimir, em parte ou no todo, o artigo do projeto. </w:t>
      </w:r>
    </w:p>
    <w:p w:rsidR="00A779B8" w:rsidRPr="00703CCF" w:rsidP="00B66742">
      <w:pPr>
        <w:autoSpaceDE w:val="0"/>
        <w:autoSpaceDN w:val="0"/>
        <w:adjustRightInd w:val="0"/>
        <w:spacing w:after="80"/>
        <w:ind w:left="2835"/>
        <w:jc w:val="both"/>
        <w:rPr>
          <w:rFonts w:asciiTheme="minorHAnsi" w:hAnsiTheme="minorHAnsi" w:cs="Calibri"/>
          <w:i/>
          <w:color w:val="000000"/>
          <w:sz w:val="22"/>
          <w:szCs w:val="22"/>
        </w:rPr>
      </w:pPr>
      <w:r w:rsidRPr="00703CCF">
        <w:rPr>
          <w:rFonts w:asciiTheme="minorHAnsi" w:hAnsiTheme="minorHAnsi" w:cs="Calibri"/>
          <w:i/>
          <w:color w:val="000000"/>
          <w:sz w:val="22"/>
          <w:szCs w:val="22"/>
        </w:rPr>
        <w:t xml:space="preserve">§ 2º. Emenda substitutiva é a que deve ser colocada no lugar do artigo. </w:t>
      </w:r>
    </w:p>
    <w:p w:rsidR="00A779B8" w:rsidRPr="00E41BF6" w:rsidP="00B66742">
      <w:pPr>
        <w:autoSpaceDE w:val="0"/>
        <w:autoSpaceDN w:val="0"/>
        <w:adjustRightInd w:val="0"/>
        <w:spacing w:after="80"/>
        <w:ind w:left="2835"/>
        <w:jc w:val="both"/>
        <w:rPr>
          <w:rFonts w:asciiTheme="minorHAnsi" w:hAnsiTheme="minorHAnsi" w:cs="Calibri"/>
          <w:b/>
          <w:i/>
          <w:color w:val="000000"/>
          <w:sz w:val="22"/>
          <w:szCs w:val="22"/>
        </w:rPr>
      </w:pPr>
      <w:r w:rsidRPr="004B059A">
        <w:rPr>
          <w:rFonts w:asciiTheme="minorHAnsi" w:hAnsiTheme="minorHAnsi" w:cs="Calibri"/>
          <w:i/>
          <w:color w:val="000000"/>
          <w:sz w:val="22"/>
          <w:szCs w:val="22"/>
        </w:rPr>
        <w:t>§ 3º. Emenda aditiva é a que deve ser acrescentada aos termos do artigo</w:t>
      </w:r>
      <w:r w:rsidRPr="00E41BF6">
        <w:rPr>
          <w:rFonts w:asciiTheme="minorHAnsi" w:hAnsiTheme="minorHAnsi" w:cs="Calibri"/>
          <w:b/>
          <w:i/>
          <w:color w:val="000000"/>
          <w:sz w:val="22"/>
          <w:szCs w:val="22"/>
        </w:rPr>
        <w:t xml:space="preserve">. </w:t>
      </w:r>
    </w:p>
    <w:p w:rsidR="00A779B8" w:rsidRPr="004B059A" w:rsidP="00B66742">
      <w:pPr>
        <w:autoSpaceDE w:val="0"/>
        <w:autoSpaceDN w:val="0"/>
        <w:adjustRightInd w:val="0"/>
        <w:spacing w:after="80"/>
        <w:ind w:left="2835"/>
        <w:jc w:val="both"/>
        <w:rPr>
          <w:rFonts w:asciiTheme="minorHAnsi" w:hAnsiTheme="minorHAnsi" w:cs="Calibri"/>
          <w:b/>
          <w:i/>
          <w:color w:val="000000"/>
          <w:sz w:val="22"/>
          <w:szCs w:val="22"/>
        </w:rPr>
      </w:pPr>
      <w:r w:rsidRPr="004B059A">
        <w:rPr>
          <w:rFonts w:asciiTheme="minorHAnsi" w:hAnsiTheme="minorHAnsi" w:cs="Calibri"/>
          <w:b/>
          <w:i/>
          <w:color w:val="000000"/>
          <w:sz w:val="22"/>
          <w:szCs w:val="22"/>
        </w:rPr>
        <w:t xml:space="preserve">§ 4º. Emenda modificativa é a que se refere apenas à redação do artigo, sem alterar a sua substância. </w:t>
      </w:r>
    </w:p>
    <w:p w:rsidR="00A779B8" w:rsidRPr="00FC62DB" w:rsidP="00B66742">
      <w:pPr>
        <w:autoSpaceDE w:val="0"/>
        <w:autoSpaceDN w:val="0"/>
        <w:adjustRightInd w:val="0"/>
        <w:spacing w:after="8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B66742">
      <w:pPr>
        <w:autoSpaceDE w:val="0"/>
        <w:autoSpaceDN w:val="0"/>
        <w:adjustRightInd w:val="0"/>
        <w:spacing w:after="80"/>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B66742">
      <w:pPr>
        <w:autoSpaceDE w:val="0"/>
        <w:autoSpaceDN w:val="0"/>
        <w:adjustRightInd w:val="0"/>
        <w:spacing w:after="8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emenda estranhos ao seu objetivo terá o direito de reclamar contra a sua admissão, competindo ao Presidente decidir sobre a reclamação. </w:t>
      </w:r>
    </w:p>
    <w:p w:rsidR="00A779B8" w:rsidRPr="00FC62DB" w:rsidP="00B66742">
      <w:pPr>
        <w:autoSpaceDE w:val="0"/>
        <w:autoSpaceDN w:val="0"/>
        <w:adjustRightInd w:val="0"/>
        <w:spacing w:after="8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393948" w:rsidP="00393948">
      <w:pPr>
        <w:autoSpaceDE w:val="0"/>
        <w:autoSpaceDN w:val="0"/>
        <w:adjustRightInd w:val="0"/>
        <w:spacing w:before="240" w:after="240" w:line="360" w:lineRule="auto"/>
        <w:ind w:firstLine="2268"/>
        <w:jc w:val="both"/>
        <w:rPr>
          <w:rFonts w:asciiTheme="minorHAnsi" w:hAnsiTheme="minorHAnsi" w:cs="Calibri"/>
          <w:szCs w:val="24"/>
        </w:rPr>
      </w:pP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sidR="00E86B5F">
        <w:rPr>
          <w:rFonts w:asciiTheme="minorHAnsi" w:eastAsiaTheme="minorHAnsi" w:hAnsiTheme="minorHAnsi" w:cstheme="minorHAnsi"/>
          <w:bCs/>
          <w:lang w:eastAsia="en-US"/>
        </w:rPr>
        <w:t>tratando-se de emenda que tem relação direta com a matéria da proposição principal,</w:t>
      </w:r>
      <w:r w:rsidRPr="00FF69A7" w:rsidR="00E86B5F">
        <w:rPr>
          <w:rFonts w:asciiTheme="minorHAnsi" w:hAnsiTheme="minorHAnsi" w:cstheme="minorHAnsi"/>
        </w:rPr>
        <w:t xml:space="preserve"> não </w:t>
      </w:r>
      <w:r>
        <w:rPr>
          <w:rFonts w:asciiTheme="minorHAnsi" w:hAnsiTheme="minorHAnsi" w:cstheme="minorHAnsi"/>
        </w:rPr>
        <w:t>havendo óbice na sua tramitação</w:t>
      </w:r>
      <w:r w:rsidR="004B059A">
        <w:rPr>
          <w:rFonts w:asciiTheme="minorHAnsi" w:hAnsiTheme="minorHAnsi" w:cstheme="minorHAnsi"/>
        </w:rPr>
        <w:t>.</w:t>
      </w:r>
      <w:r>
        <w:rPr>
          <w:rFonts w:asciiTheme="minorHAnsi" w:hAnsiTheme="minorHAnsi" w:cstheme="minorHAnsi"/>
        </w:rPr>
        <w:t xml:space="preserve"> </w:t>
      </w:r>
    </w:p>
    <w:p w:rsidR="004B059A" w:rsidRPr="00F50ADA" w:rsidP="004B059A">
      <w:pPr>
        <w:pStyle w:val="Heading3"/>
        <w:shd w:val="clear" w:color="auto" w:fill="FFFFFF"/>
        <w:spacing w:before="240" w:after="240" w:line="360" w:lineRule="auto"/>
        <w:ind w:firstLine="2268"/>
        <w:jc w:val="both"/>
        <w:rPr>
          <w:rFonts w:asciiTheme="minorHAnsi" w:eastAsiaTheme="minorHAnsi" w:hAnsiTheme="minorHAnsi" w:cstheme="minorHAnsi"/>
          <w:bCs w:val="0"/>
          <w:color w:val="auto"/>
          <w:szCs w:val="24"/>
          <w:lang w:eastAsia="en-US"/>
        </w:rPr>
      </w:pPr>
      <w:r w:rsidRPr="00FF69A7">
        <w:rPr>
          <w:rFonts w:asciiTheme="minorHAnsi" w:eastAsiaTheme="minorHAnsi" w:hAnsiTheme="minorHAnsi" w:cstheme="minorHAnsi"/>
          <w:b w:val="0"/>
          <w:bCs w:val="0"/>
          <w:color w:val="auto"/>
          <w:szCs w:val="24"/>
          <w:lang w:eastAsia="en-US"/>
        </w:rPr>
        <w:t>Noutro aspecto, cabe ressaltar que em projetos de iniciativa do E</w:t>
      </w:r>
      <w:r>
        <w:rPr>
          <w:rFonts w:asciiTheme="minorHAnsi" w:eastAsiaTheme="minorHAnsi" w:hAnsiTheme="minorHAnsi" w:cstheme="minorHAnsi"/>
          <w:b w:val="0"/>
          <w:bCs w:val="0"/>
          <w:color w:val="auto"/>
          <w:szCs w:val="24"/>
          <w:lang w:eastAsia="en-US"/>
        </w:rPr>
        <w:t>xecutivo resta pacific</w:t>
      </w:r>
      <w:r w:rsidRPr="00FF69A7">
        <w:rPr>
          <w:rFonts w:asciiTheme="minorHAnsi" w:eastAsiaTheme="minorHAnsi" w:hAnsiTheme="minorHAnsi" w:cstheme="minorHAnsi"/>
          <w:b w:val="0"/>
          <w:bCs w:val="0"/>
          <w:color w:val="auto"/>
          <w:szCs w:val="24"/>
          <w:lang w:eastAsia="en-US"/>
        </w:rPr>
        <w:t>o n</w:t>
      </w:r>
      <w:r>
        <w:rPr>
          <w:rFonts w:asciiTheme="minorHAnsi" w:eastAsiaTheme="minorHAnsi" w:hAnsiTheme="minorHAnsi" w:cstheme="minorHAnsi"/>
          <w:b w:val="0"/>
          <w:bCs w:val="0"/>
          <w:color w:val="auto"/>
          <w:szCs w:val="24"/>
          <w:lang w:eastAsia="en-US"/>
        </w:rPr>
        <w:t>a</w:t>
      </w:r>
      <w:r w:rsidRPr="00FF69A7">
        <w:rPr>
          <w:rFonts w:asciiTheme="minorHAnsi" w:eastAsiaTheme="minorHAnsi" w:hAnsiTheme="minorHAnsi" w:cstheme="minorHAnsi"/>
          <w:b w:val="0"/>
          <w:bCs w:val="0"/>
          <w:color w:val="auto"/>
          <w:szCs w:val="24"/>
          <w:lang w:eastAsia="en-US"/>
        </w:rPr>
        <w:t xml:space="preserve"> Suprema Corte a possibilidade de emendas parlamentares </w:t>
      </w:r>
      <w:r w:rsidRPr="00F50ADA">
        <w:rPr>
          <w:rFonts w:asciiTheme="minorHAnsi" w:eastAsiaTheme="minorHAnsi" w:hAnsiTheme="minorHAnsi" w:cstheme="minorHAnsi"/>
          <w:bCs w:val="0"/>
          <w:color w:val="auto"/>
          <w:szCs w:val="24"/>
          <w:u w:val="single"/>
          <w:lang w:eastAsia="en-US"/>
        </w:rPr>
        <w:t>desde que guardem pertinência temática com o projeto</w:t>
      </w:r>
      <w:r w:rsidRPr="00F50ADA">
        <w:rPr>
          <w:rFonts w:asciiTheme="minorHAnsi" w:eastAsiaTheme="minorHAnsi" w:hAnsiTheme="minorHAnsi" w:cstheme="minorHAnsi"/>
          <w:bCs w:val="0"/>
          <w:color w:val="auto"/>
          <w:szCs w:val="24"/>
          <w:lang w:eastAsia="en-US"/>
        </w:rPr>
        <w:t xml:space="preserve"> </w:t>
      </w:r>
      <w:r w:rsidRPr="00F50ADA">
        <w:rPr>
          <w:rFonts w:asciiTheme="minorHAnsi" w:eastAsiaTheme="minorHAnsi" w:hAnsiTheme="minorHAnsi" w:cstheme="minorHAnsi"/>
          <w:bCs w:val="0"/>
          <w:color w:val="auto"/>
          <w:szCs w:val="24"/>
          <w:u w:val="single"/>
          <w:lang w:eastAsia="en-US"/>
        </w:rPr>
        <w:t>e não importem em aumento de despesas:</w:t>
      </w:r>
    </w:p>
    <w:p w:rsidR="004B059A" w:rsidRPr="00FF69A7" w:rsidP="004B059A">
      <w:pPr>
        <w:pStyle w:val="Heading3"/>
        <w:shd w:val="clear" w:color="auto" w:fill="FFFFFF"/>
        <w:spacing w:before="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4B059A" w:rsidRPr="00FF69A7" w:rsidP="004B059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4B059A" w:rsidRPr="00FF69A7" w:rsidP="004B059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4B059A" w:rsidRPr="00FF69A7" w:rsidP="004B059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4B059A" w:rsidRPr="00FF69A7" w:rsidP="004B059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4B059A" w:rsidP="004B059A">
      <w:pPr>
        <w:shd w:val="clear" w:color="auto" w:fill="FFFFFF"/>
        <w:spacing w:after="0"/>
        <w:ind w:left="2835"/>
        <w:jc w:val="both"/>
        <w:rPr>
          <w:rFonts w:asciiTheme="minorHAnsi" w:hAnsiTheme="minorHAnsi" w:cstheme="minorHAnsi"/>
          <w:i/>
        </w:rPr>
      </w:pPr>
      <w:r w:rsidRPr="00FF69A7">
        <w:rPr>
          <w:rFonts w:asciiTheme="minorHAnsi" w:hAnsiTheme="minorHAnsi" w:cstheme="minorHAnsi"/>
          <w:i/>
        </w:rPr>
        <w:t>(STF. ADI 2583 RS. Plenário, 01.08.2011)</w:t>
      </w:r>
    </w:p>
    <w:p w:rsidR="004B059A" w:rsidP="004B059A">
      <w:pPr>
        <w:shd w:val="clear" w:color="auto" w:fill="FFFFFF"/>
        <w:spacing w:after="0"/>
        <w:ind w:left="2835"/>
        <w:jc w:val="both"/>
        <w:rPr>
          <w:rFonts w:asciiTheme="minorHAnsi" w:hAnsiTheme="minorHAnsi" w:cstheme="minorHAnsi"/>
          <w:i/>
        </w:rPr>
      </w:pPr>
    </w:p>
    <w:p w:rsidR="004B059A" w:rsidRPr="00EB73E9" w:rsidP="004B059A">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4B059A" w:rsidRPr="00A87ED2" w:rsidP="004B059A">
      <w:pPr>
        <w:spacing w:after="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impugnada e dispositivos da Lei Orgânica Municipal e do Regimento Interno da Câmara. Inadmissibilidade. Aplicação dos artigos 125, § 2º, da CF, e 74, VI, da CE. Precedentes. Não conheço da ação quanto aos parâmetros apontados LOM e Regimento Interno da Câmara. </w:t>
      </w:r>
    </w:p>
    <w:p w:rsidR="004B059A" w:rsidP="004B059A">
      <w:pPr>
        <w:spacing w:after="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Icém,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(ii)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são decorrência lógica do teor da emenda. Princípio da isonomia. Ausente a apontada violação. Restrição do aumento salarial aos servidores efetivos se encontra dentro da discricionariedade política do Poder Legislativo. Inexistente afronta à igualdade, máxime porque a maior defasagem </w:t>
      </w:r>
      <w:r w:rsidRPr="00A87ED2">
        <w:rPr>
          <w:rFonts w:asciiTheme="minorHAnsi" w:hAnsiTheme="minorHAnsi" w:cstheme="minorHAnsi"/>
          <w:i/>
          <w:sz w:val="22"/>
          <w:szCs w:val="22"/>
        </w:rPr>
        <w:t>salarial era verificada, realmente, entre os ocupantes de tais cargos. Decisão razoável, à luz da crise econômico-financeira vivenciada pelo Município e da grande quantia de cargos em comissão irregulares lá existentes, muitos dos quais recentemente invalidados por este Eg.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4B059A" w:rsidRPr="00621D83" w:rsidP="004B059A">
      <w:pPr>
        <w:spacing w:after="240" w:line="240" w:lineRule="auto"/>
        <w:ind w:left="2268"/>
        <w:jc w:val="both"/>
        <w:rPr>
          <w:rFonts w:asciiTheme="minorHAnsi" w:hAnsiTheme="minorHAnsi" w:cstheme="minorHAnsi"/>
          <w:i/>
          <w:sz w:val="4"/>
          <w:szCs w:val="4"/>
        </w:rPr>
      </w:pPr>
    </w:p>
    <w:p w:rsidR="004B059A" w:rsidP="004B059A">
      <w:pPr>
        <w:autoSpaceDE w:val="0"/>
        <w:autoSpaceDN w:val="0"/>
        <w:adjustRightInd w:val="0"/>
        <w:spacing w:before="240" w:after="240" w:line="360" w:lineRule="auto"/>
        <w:ind w:firstLine="2268"/>
        <w:jc w:val="both"/>
        <w:rPr>
          <w:rFonts w:asciiTheme="minorHAnsi" w:hAnsiTheme="minorHAnsi" w:cs="Calibri"/>
          <w:szCs w:val="24"/>
        </w:rPr>
      </w:pPr>
      <w:r w:rsidRPr="00EA432D">
        <w:rPr>
          <w:rFonts w:asciiTheme="minorHAnsi" w:hAnsiTheme="minorHAnsi" w:cstheme="minorHAnsi"/>
          <w:i/>
        </w:rPr>
        <w:t xml:space="preserve">In casu, </w:t>
      </w:r>
      <w:r w:rsidRPr="00EA432D">
        <w:rPr>
          <w:rFonts w:asciiTheme="minorHAnsi" w:hAnsiTheme="minorHAnsi" w:cstheme="minorHAnsi"/>
        </w:rPr>
        <w:t>infere-se que a proposição em análise não gera despesa</w:t>
      </w:r>
      <w:r w:rsidR="002A038B">
        <w:rPr>
          <w:rFonts w:asciiTheme="minorHAnsi" w:hAnsiTheme="minorHAnsi" w:cstheme="minorHAnsi"/>
        </w:rPr>
        <w:t xml:space="preserve"> e </w:t>
      </w:r>
      <w:r w:rsidRPr="00EA432D">
        <w:rPr>
          <w:rFonts w:asciiTheme="minorHAnsi" w:hAnsiTheme="minorHAnsi" w:cstheme="minorHAnsi"/>
        </w:rPr>
        <w:t xml:space="preserve">guarda pertinência temática com projeto </w:t>
      </w:r>
      <w:r>
        <w:rPr>
          <w:rFonts w:asciiTheme="minorHAnsi" w:hAnsiTheme="minorHAnsi" w:cstheme="minorHAnsi"/>
        </w:rPr>
        <w:t>original, porquanto se limita à correção</w:t>
      </w:r>
      <w:r w:rsidR="002A038B">
        <w:rPr>
          <w:rFonts w:asciiTheme="minorHAnsi" w:hAnsiTheme="minorHAnsi" w:cstheme="minorHAnsi"/>
        </w:rPr>
        <w:t xml:space="preserve"> de</w:t>
      </w:r>
      <w:r>
        <w:rPr>
          <w:rFonts w:asciiTheme="minorHAnsi" w:hAnsiTheme="minorHAnsi" w:cstheme="minorHAnsi"/>
        </w:rPr>
        <w:t xml:space="preserve"> equívoco de digitação</w:t>
      </w:r>
      <w:r w:rsidR="002A038B">
        <w:rPr>
          <w:rFonts w:asciiTheme="minorHAnsi" w:hAnsiTheme="minorHAnsi" w:cstheme="minorHAnsi"/>
        </w:rPr>
        <w:t>, conforme</w:t>
      </w:r>
      <w:r>
        <w:rPr>
          <w:rFonts w:asciiTheme="minorHAnsi" w:hAnsiTheme="minorHAnsi" w:cstheme="minorHAnsi"/>
        </w:rPr>
        <w:t xml:space="preserve"> observado</w:t>
      </w:r>
      <w:r w:rsidR="002A038B">
        <w:rPr>
          <w:rFonts w:asciiTheme="minorHAnsi" w:hAnsiTheme="minorHAnsi" w:cstheme="minorHAnsi"/>
        </w:rPr>
        <w:t xml:space="preserve"> no</w:t>
      </w:r>
      <w:r>
        <w:rPr>
          <w:rFonts w:asciiTheme="minorHAnsi" w:hAnsiTheme="minorHAnsi" w:cstheme="minorHAnsi"/>
        </w:rPr>
        <w:t xml:space="preserve"> </w:t>
      </w:r>
      <w:r w:rsidRPr="00783082">
        <w:rPr>
          <w:rFonts w:asciiTheme="minorHAnsi" w:hAnsiTheme="minorHAnsi" w:cs="Calibri"/>
          <w:szCs w:val="24"/>
        </w:rPr>
        <w:t xml:space="preserve">Parecer Jurídico nº </w:t>
      </w:r>
      <w:r>
        <w:rPr>
          <w:rFonts w:asciiTheme="minorHAnsi" w:hAnsiTheme="minorHAnsi" w:cs="Calibri"/>
          <w:szCs w:val="24"/>
        </w:rPr>
        <w:t>424</w:t>
      </w:r>
      <w:r w:rsidRPr="00783082">
        <w:rPr>
          <w:rFonts w:asciiTheme="minorHAnsi" w:hAnsiTheme="minorHAnsi" w:cs="Calibri"/>
          <w:szCs w:val="24"/>
        </w:rPr>
        <w:t>/2022</w:t>
      </w:r>
      <w:r>
        <w:rPr>
          <w:rFonts w:asciiTheme="minorHAnsi" w:hAnsiTheme="minorHAnsi" w:cs="Calibri"/>
          <w:szCs w:val="24"/>
        </w:rPr>
        <w:t>, referente ao projeto original, no qual consta recomenda</w:t>
      </w:r>
      <w:r w:rsidR="002A038B">
        <w:rPr>
          <w:rFonts w:asciiTheme="minorHAnsi" w:hAnsiTheme="minorHAnsi" w:cs="Calibri"/>
          <w:szCs w:val="24"/>
        </w:rPr>
        <w:t>ção</w:t>
      </w:r>
      <w:bookmarkStart w:id="0" w:name="_GoBack"/>
      <w:bookmarkEnd w:id="0"/>
      <w:r>
        <w:rPr>
          <w:rFonts w:asciiTheme="minorHAnsi" w:hAnsiTheme="minorHAnsi" w:cs="Calibri"/>
          <w:szCs w:val="24"/>
        </w:rPr>
        <w:t xml:space="preserve"> atinente à alteração proposta.</w:t>
      </w:r>
    </w:p>
    <w:p w:rsidR="003D5E35" w:rsidP="00A74B3C">
      <w:pPr>
        <w:pStyle w:val="BodyText"/>
        <w:spacing w:after="240" w:line="360" w:lineRule="auto"/>
        <w:ind w:firstLine="2268"/>
        <w:jc w:val="both"/>
        <w:rPr>
          <w:rFonts w:asciiTheme="minorHAnsi" w:hAnsiTheme="minorHAnsi" w:cstheme="minorHAnsi"/>
          <w:szCs w:val="24"/>
        </w:rPr>
      </w:pPr>
      <w:r w:rsidRPr="00DF2C1A">
        <w:rPr>
          <w:rFonts w:asciiTheme="minorHAnsi" w:hAnsiTheme="minorHAnsi" w:cstheme="minorHAnsi"/>
          <w:szCs w:val="24"/>
        </w:rPr>
        <w:t xml:space="preserve">Por fim, quanto ao aspecto gramatical e lógico </w:t>
      </w:r>
      <w:r w:rsidR="005130B0">
        <w:rPr>
          <w:rFonts w:asciiTheme="minorHAnsi" w:hAnsiTheme="minorHAnsi" w:cstheme="minorHAnsi"/>
          <w:szCs w:val="24"/>
        </w:rPr>
        <w:t>a emenda atende</w:t>
      </w:r>
      <w:r>
        <w:rPr>
          <w:rFonts w:asciiTheme="minorHAnsi" w:hAnsiTheme="minorHAnsi" w:cstheme="minorHAnsi"/>
          <w:szCs w:val="24"/>
        </w:rPr>
        <w:t xml:space="preserve"> aos</w:t>
      </w:r>
      <w:r w:rsidRPr="00DF2C1A">
        <w:rPr>
          <w:rFonts w:asciiTheme="minorHAnsi" w:hAnsiTheme="minorHAnsi" w:cstheme="minorHAnsi"/>
          <w:szCs w:val="24"/>
        </w:rPr>
        <w:t xml:space="preserve"> preceitos da Lei Complementar nº 95 de 1998</w:t>
      </w:r>
      <w:r w:rsidR="00C36041">
        <w:rPr>
          <w:rFonts w:asciiTheme="minorHAnsi" w:hAnsiTheme="minorHAnsi" w:cstheme="minorHAnsi"/>
          <w:szCs w:val="24"/>
        </w:rPr>
        <w:t>,</w:t>
      </w:r>
      <w:r w:rsidRPr="00DF2C1A">
        <w:rPr>
          <w:rFonts w:asciiTheme="minorHAnsi" w:hAnsiTheme="minorHAnsi" w:cstheme="minorHAnsi"/>
          <w:szCs w:val="24"/>
        </w:rPr>
        <w:t xml:space="preserve"> que dispõe sobre a elaboração, redação, al</w:t>
      </w:r>
      <w:r w:rsidR="005130B0">
        <w:rPr>
          <w:rFonts w:asciiTheme="minorHAnsi" w:hAnsiTheme="minorHAnsi" w:cstheme="minorHAnsi"/>
          <w:szCs w:val="24"/>
        </w:rPr>
        <w:t>teração e consolidação das leis</w:t>
      </w:r>
      <w:r>
        <w:rPr>
          <w:rFonts w:asciiTheme="minorHAnsi" w:hAnsiTheme="minorHAnsi" w:cstheme="minorHAnsi"/>
          <w:szCs w:val="24"/>
        </w:rPr>
        <w:t>.</w:t>
      </w:r>
    </w:p>
    <w:p w:rsidR="00F50ADA" w:rsidP="004B059A">
      <w:pPr>
        <w:pStyle w:val="BodyText"/>
        <w:spacing w:before="120" w:line="360" w:lineRule="auto"/>
        <w:ind w:firstLine="2268"/>
        <w:jc w:val="both"/>
        <w:rPr>
          <w:rFonts w:ascii="Calibri" w:hAnsi="Calibri" w:cstheme="minorHAnsi"/>
          <w:szCs w:val="24"/>
        </w:rPr>
      </w:pPr>
      <w:r>
        <w:rPr>
          <w:rFonts w:asciiTheme="minorHAnsi" w:hAnsiTheme="minorHAnsi" w:cstheme="minorHAnsi"/>
          <w:szCs w:val="24"/>
        </w:rPr>
        <w:t xml:space="preserve"> </w:t>
      </w:r>
      <w:r w:rsidRPr="00F50ADA" w:rsidR="00A56E27">
        <w:rPr>
          <w:rFonts w:asciiTheme="minorHAnsi" w:hAnsiTheme="minorHAnsi" w:cstheme="minorHAnsi"/>
          <w:szCs w:val="24"/>
        </w:rPr>
        <w:t>Ante o e</w:t>
      </w:r>
      <w:r w:rsidRPr="00D53AB7" w:rsidR="00A56E27">
        <w:rPr>
          <w:rFonts w:asciiTheme="minorHAnsi" w:hAnsiTheme="minorHAnsi" w:cstheme="minorHAnsi"/>
          <w:szCs w:val="24"/>
        </w:rPr>
        <w:t xml:space="preserve">xposto, </w:t>
      </w:r>
      <w:r w:rsidRPr="00D53AB7" w:rsidR="00EB26A1">
        <w:rPr>
          <w:rFonts w:asciiTheme="minorHAnsi" w:hAnsiTheme="minorHAnsi" w:cstheme="minorHAnsi"/>
          <w:szCs w:val="24"/>
        </w:rPr>
        <w:t xml:space="preserve">opinamos </w:t>
      </w:r>
      <w:r w:rsidRPr="00D53AB7" w:rsidR="00A56E27">
        <w:rPr>
          <w:rFonts w:asciiTheme="minorHAnsi" w:hAnsiTheme="minorHAnsi" w:cstheme="minorHAnsi"/>
          <w:szCs w:val="24"/>
        </w:rPr>
        <w:t xml:space="preserve">pela constitucionalidade </w:t>
      </w:r>
      <w:r w:rsidRPr="00D53AB7" w:rsidR="00D53AB7">
        <w:rPr>
          <w:rFonts w:asciiTheme="minorHAnsi" w:hAnsiTheme="minorHAnsi" w:cstheme="minorHAnsi"/>
          <w:szCs w:val="24"/>
        </w:rPr>
        <w:t xml:space="preserve">e legalidade </w:t>
      </w:r>
      <w:r w:rsidRPr="00D53AB7" w:rsidR="00A56E27">
        <w:rPr>
          <w:rFonts w:asciiTheme="minorHAnsi" w:hAnsiTheme="minorHAnsi" w:cstheme="minorHAnsi"/>
          <w:szCs w:val="24"/>
        </w:rPr>
        <w:t xml:space="preserve">do projeto de emenda. </w:t>
      </w:r>
      <w:r w:rsidRPr="00076B1A" w:rsidR="00A779B8">
        <w:rPr>
          <w:rFonts w:asciiTheme="minorHAnsi" w:hAnsiTheme="minorHAnsi" w:cs="Calibri"/>
          <w:szCs w:val="24"/>
        </w:rPr>
        <w:t>S</w:t>
      </w:r>
      <w:r w:rsidRPr="00076B1A" w:rsidR="00A779B8">
        <w:rPr>
          <w:rFonts w:ascii="Calibri" w:hAnsi="Calibri" w:cstheme="minorHAnsi"/>
          <w:szCs w:val="24"/>
        </w:rPr>
        <w:t>obre o mérito, manifestar-se-á o Soberano Plenário.</w:t>
      </w:r>
    </w:p>
    <w:p w:rsidR="00F50ADA" w:rsidP="004B059A">
      <w:pPr>
        <w:autoSpaceDE w:val="0"/>
        <w:autoSpaceDN w:val="0"/>
        <w:adjustRightInd w:val="0"/>
        <w:spacing w:before="120" w:after="120" w:line="360" w:lineRule="auto"/>
        <w:ind w:firstLine="2268"/>
        <w:jc w:val="both"/>
        <w:rPr>
          <w:rFonts w:ascii="Calibri" w:hAnsi="Calibri" w:cstheme="minorHAnsi"/>
          <w:szCs w:val="24"/>
        </w:rPr>
      </w:pPr>
      <w:r>
        <w:rPr>
          <w:rFonts w:ascii="Calibri" w:hAnsi="Calibri" w:cs="Calibri"/>
          <w:szCs w:val="24"/>
        </w:rPr>
        <w:t>É o parecer, a superior consideração.</w:t>
      </w:r>
    </w:p>
    <w:p w:rsidR="00A779B8" w:rsidP="004B059A">
      <w:pPr>
        <w:autoSpaceDE w:val="0"/>
        <w:autoSpaceDN w:val="0"/>
        <w:adjustRightInd w:val="0"/>
        <w:spacing w:before="120" w:after="120" w:line="360" w:lineRule="auto"/>
        <w:ind w:firstLine="2268"/>
        <w:jc w:val="both"/>
        <w:rPr>
          <w:rFonts w:ascii="Calibri" w:hAnsi="Calibri" w:cs="Calibri"/>
          <w:szCs w:val="24"/>
        </w:rPr>
      </w:pPr>
      <w:r w:rsidRPr="003A7521">
        <w:rPr>
          <w:rFonts w:ascii="Calibri" w:hAnsi="Calibri" w:cs="Calibri"/>
          <w:szCs w:val="24"/>
        </w:rPr>
        <w:t>Procuradoria</w:t>
      </w:r>
      <w:r>
        <w:rPr>
          <w:rFonts w:ascii="Calibri" w:hAnsi="Calibri" w:cs="Calibri"/>
          <w:szCs w:val="24"/>
        </w:rPr>
        <w:t xml:space="preserve">, </w:t>
      </w:r>
      <w:r w:rsidR="005130B0">
        <w:rPr>
          <w:rFonts w:ascii="Calibri" w:hAnsi="Calibri" w:cs="Calibri"/>
          <w:szCs w:val="24"/>
        </w:rPr>
        <w:t>1</w:t>
      </w:r>
      <w:r w:rsidR="004B059A">
        <w:rPr>
          <w:rFonts w:ascii="Calibri" w:hAnsi="Calibri" w:cs="Calibri"/>
          <w:szCs w:val="24"/>
        </w:rPr>
        <w:t>5</w:t>
      </w:r>
      <w:r w:rsidRPr="003A7521">
        <w:rPr>
          <w:rFonts w:ascii="Calibri" w:hAnsi="Calibri" w:cs="Calibri"/>
          <w:szCs w:val="24"/>
        </w:rPr>
        <w:t xml:space="preserve"> de </w:t>
      </w:r>
      <w:r w:rsidR="005130B0">
        <w:rPr>
          <w:rFonts w:ascii="Calibri" w:hAnsi="Calibri" w:cs="Calibri"/>
          <w:szCs w:val="24"/>
        </w:rPr>
        <w:t>dez</w:t>
      </w:r>
      <w:r w:rsidR="0023693B">
        <w:rPr>
          <w:rFonts w:ascii="Calibri" w:hAnsi="Calibri" w:cs="Calibri"/>
          <w:szCs w:val="24"/>
        </w:rPr>
        <w: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EB26A1" w:rsidP="00F50ADA">
      <w:pPr>
        <w:pStyle w:val="BodyText"/>
        <w:spacing w:after="0" w:line="240" w:lineRule="auto"/>
        <w:jc w:val="center"/>
        <w:rPr>
          <w:rFonts w:ascii="Calibri" w:hAnsi="Calibri" w:cs="Calibri"/>
          <w:b/>
          <w:szCs w:val="24"/>
        </w:rPr>
      </w:pPr>
    </w:p>
    <w:p w:rsidR="00A779B8" w:rsidRPr="003A7521" w:rsidP="00F50ADA">
      <w:pPr>
        <w:pStyle w:val="BodyText"/>
        <w:spacing w:after="0" w:line="240" w:lineRule="auto"/>
        <w:jc w:val="center"/>
        <w:rPr>
          <w:rFonts w:ascii="Calibri" w:hAnsi="Calibri" w:cs="Calibri"/>
          <w:b/>
          <w:szCs w:val="24"/>
        </w:rPr>
      </w:pPr>
      <w:r>
        <w:rPr>
          <w:rFonts w:ascii="Calibri" w:hAnsi="Calibri" w:cs="Calibri"/>
          <w:b/>
          <w:szCs w:val="24"/>
        </w:rPr>
        <w:t>Rosemeire de Souza Cardoso Barbosa</w:t>
      </w:r>
    </w:p>
    <w:p w:rsidR="00A779B8" w:rsidP="00F50ADA">
      <w:pPr>
        <w:pStyle w:val="BodyText"/>
        <w:spacing w:after="0" w:line="240" w:lineRule="auto"/>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766226" w:rsidP="00F50ADA">
      <w:pPr>
        <w:pStyle w:val="BodyText"/>
        <w:spacing w:after="0" w:line="240" w:lineRule="auto"/>
        <w:jc w:val="center"/>
      </w:pPr>
      <w:r>
        <w:rPr>
          <w:rFonts w:ascii="Calibri" w:hAnsi="Calibri" w:cs="Calibri"/>
          <w:szCs w:val="24"/>
        </w:rPr>
        <w:t>Assinatura Eletrônica</w:t>
      </w: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B059A" w:rsidP="00E86B5F">
            <w:pPr>
              <w:pStyle w:val="Footer"/>
              <w:jc w:val="right"/>
              <w:rPr>
                <w:sz w:val="18"/>
                <w:lang w:val="pt-PT"/>
              </w:rPr>
            </w:pPr>
          </w:p>
          <w:p w:rsidR="004B059A" w:rsidP="00E86B5F">
            <w:pPr>
              <w:pStyle w:val="Footer"/>
              <w:ind w:right="-313"/>
              <w:jc w:val="center"/>
              <w:rPr>
                <w:sz w:val="18"/>
                <w:lang w:val="pt-PT"/>
              </w:rPr>
            </w:pPr>
            <w:r>
              <w:rPr>
                <w:sz w:val="18"/>
                <w:lang w:val="pt-PT"/>
              </w:rPr>
              <w:t>________________________________________________________________________________________</w:t>
            </w:r>
          </w:p>
          <w:p w:rsidR="004B059A" w:rsidP="00E86B5F">
            <w:pPr>
              <w:pStyle w:val="Footer"/>
              <w:ind w:right="-313"/>
              <w:rPr>
                <w:sz w:val="18"/>
                <w:lang w:val="pt-PT"/>
              </w:rPr>
            </w:pPr>
            <w:r>
              <w:rPr>
                <w:sz w:val="18"/>
                <w:lang w:val="pt-PT"/>
              </w:rPr>
              <w:t xml:space="preserve">          Rua Antônio Schiavinato, 59, Residencial São Luis - Tel: (19) 3829.5310 - CEP: 13270-470</w:t>
            </w:r>
          </w:p>
          <w:p w:rsidR="004B059A" w:rsidP="00E86B5F">
            <w:pPr>
              <w:pStyle w:val="Footer"/>
              <w:ind w:left="-1985" w:right="-313"/>
              <w:jc w:val="center"/>
            </w:pPr>
            <w:r>
              <w:rPr>
                <w:sz w:val="18"/>
                <w:lang w:val="pt-PT"/>
              </w:rPr>
              <w:t xml:space="preserve">    site: www.camaravalinhos.sp.gov.br   </w:t>
            </w:r>
          </w:p>
          <w:p w:rsidR="004B059A"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A038B">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A038B">
              <w:rPr>
                <w:b/>
                <w:bCs/>
                <w:noProof/>
                <w:sz w:val="18"/>
                <w:szCs w:val="18"/>
              </w:rPr>
              <w:t>5</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59A" w:rsidP="00E86B5F">
    <w:pPr>
      <w:pStyle w:val="Header"/>
      <w:jc w:val="center"/>
      <w:rPr>
        <w:b/>
        <w:sz w:val="26"/>
        <w:lang w:val="pt-PT"/>
      </w:rPr>
    </w:pPr>
  </w:p>
  <w:p w:rsidR="004B059A"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059A" w:rsidP="00E86B5F">
                          <w:r>
                            <w:rPr>
                              <w:noProof/>
                            </w:rPr>
                            <w:drawing>
                              <wp:inline distT="0" distB="0" distL="0" distR="0">
                                <wp:extent cx="876300" cy="850900"/>
                                <wp:effectExtent l="19050" t="0" r="0" b="0"/>
                                <wp:docPr id="5530480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71660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3261521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6D74A8"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47221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2520520" r:id="rId4"/>
                    </w:object>
                  </w:p>
                </w:txbxContent>
              </v:textbox>
              <w10:wrap type="square"/>
            </v:shape>
          </w:pict>
        </mc:Fallback>
      </mc:AlternateContent>
    </w:r>
  </w:p>
  <w:p w:rsidR="004B059A" w:rsidP="00E86B5F">
    <w:pPr>
      <w:pStyle w:val="Header"/>
      <w:jc w:val="center"/>
      <w:rPr>
        <w:b/>
        <w:sz w:val="28"/>
        <w:lang w:val="pt-PT"/>
      </w:rPr>
    </w:pPr>
    <w:r>
      <w:rPr>
        <w:b/>
        <w:sz w:val="28"/>
        <w:lang w:val="pt-PT"/>
      </w:rPr>
      <w:t>CÂMARA MUNICIPAL DE VALINHOS</w:t>
    </w:r>
  </w:p>
  <w:p w:rsidR="004B059A"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1667"/>
    <w:rsid w:val="00004FB0"/>
    <w:rsid w:val="0001147D"/>
    <w:rsid w:val="0006682F"/>
    <w:rsid w:val="00076B1A"/>
    <w:rsid w:val="000C1B0D"/>
    <w:rsid w:val="001604ED"/>
    <w:rsid w:val="001B125C"/>
    <w:rsid w:val="001E5F5A"/>
    <w:rsid w:val="00230814"/>
    <w:rsid w:val="0023693B"/>
    <w:rsid w:val="002A038B"/>
    <w:rsid w:val="002A4643"/>
    <w:rsid w:val="003148CA"/>
    <w:rsid w:val="00336C41"/>
    <w:rsid w:val="00393948"/>
    <w:rsid w:val="003A7521"/>
    <w:rsid w:val="003D5E35"/>
    <w:rsid w:val="003E0624"/>
    <w:rsid w:val="00422A4A"/>
    <w:rsid w:val="0046448F"/>
    <w:rsid w:val="004A10E3"/>
    <w:rsid w:val="004B059A"/>
    <w:rsid w:val="004F3E3E"/>
    <w:rsid w:val="005130B0"/>
    <w:rsid w:val="0053635B"/>
    <w:rsid w:val="005723D1"/>
    <w:rsid w:val="005945EE"/>
    <w:rsid w:val="00621D83"/>
    <w:rsid w:val="00646BC4"/>
    <w:rsid w:val="006B06EE"/>
    <w:rsid w:val="006B0A89"/>
    <w:rsid w:val="006B4991"/>
    <w:rsid w:val="006B652B"/>
    <w:rsid w:val="006B7E38"/>
    <w:rsid w:val="006D74A8"/>
    <w:rsid w:val="00703CCF"/>
    <w:rsid w:val="00724E61"/>
    <w:rsid w:val="00766226"/>
    <w:rsid w:val="00783082"/>
    <w:rsid w:val="00791AF4"/>
    <w:rsid w:val="00830E6F"/>
    <w:rsid w:val="008B72D2"/>
    <w:rsid w:val="008E345B"/>
    <w:rsid w:val="008E7095"/>
    <w:rsid w:val="00927006"/>
    <w:rsid w:val="00997F48"/>
    <w:rsid w:val="009A07D0"/>
    <w:rsid w:val="009E5961"/>
    <w:rsid w:val="00A56E27"/>
    <w:rsid w:val="00A74B3C"/>
    <w:rsid w:val="00A779B8"/>
    <w:rsid w:val="00A87ED2"/>
    <w:rsid w:val="00A949A5"/>
    <w:rsid w:val="00AD055D"/>
    <w:rsid w:val="00AD09BD"/>
    <w:rsid w:val="00AE43CE"/>
    <w:rsid w:val="00B07759"/>
    <w:rsid w:val="00B07D7F"/>
    <w:rsid w:val="00B1451C"/>
    <w:rsid w:val="00B60E48"/>
    <w:rsid w:val="00B66742"/>
    <w:rsid w:val="00BC47E8"/>
    <w:rsid w:val="00C36041"/>
    <w:rsid w:val="00C669D7"/>
    <w:rsid w:val="00C77421"/>
    <w:rsid w:val="00CF0475"/>
    <w:rsid w:val="00CF67A3"/>
    <w:rsid w:val="00D53AB7"/>
    <w:rsid w:val="00D5675D"/>
    <w:rsid w:val="00D6369B"/>
    <w:rsid w:val="00D75ECD"/>
    <w:rsid w:val="00DA5745"/>
    <w:rsid w:val="00DB35AA"/>
    <w:rsid w:val="00DB61AE"/>
    <w:rsid w:val="00DF0889"/>
    <w:rsid w:val="00DF1E9A"/>
    <w:rsid w:val="00DF2C1A"/>
    <w:rsid w:val="00E3557F"/>
    <w:rsid w:val="00E41BF6"/>
    <w:rsid w:val="00E86B5F"/>
    <w:rsid w:val="00EA432D"/>
    <w:rsid w:val="00EB26A1"/>
    <w:rsid w:val="00EB73E9"/>
    <w:rsid w:val="00F05AFD"/>
    <w:rsid w:val="00F50ADA"/>
    <w:rsid w:val="00F53BEF"/>
    <w:rsid w:val="00FC140B"/>
    <w:rsid w:val="00FC62DB"/>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customStyle="1" w:styleId="artigo">
    <w:name w:val="artigo"/>
    <w:basedOn w:val="Normal"/>
    <w:rsid w:val="001E5F5A"/>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1318</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dcterms:created xsi:type="dcterms:W3CDTF">2022-12-15T16:00:00Z</dcterms:created>
  <dcterms:modified xsi:type="dcterms:W3CDTF">2022-12-15T16:14:00Z</dcterms:modified>
</cp:coreProperties>
</file>