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2D1C" w:rsidRPr="009B580E" w:rsidP="00E52D1C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9B580E">
        <w:rPr>
          <w:rFonts w:ascii="Calibri" w:hAnsi="Calibri" w:cs="Calibri"/>
          <w:b/>
          <w:color w:val="auto"/>
        </w:rPr>
        <w:t xml:space="preserve">Parecer Jurídico nº </w:t>
      </w:r>
      <w:r w:rsidR="001F4F2D">
        <w:rPr>
          <w:rFonts w:ascii="Calibri" w:hAnsi="Calibri" w:cs="Calibri"/>
          <w:b/>
          <w:color w:val="auto"/>
        </w:rPr>
        <w:t>452</w:t>
      </w:r>
      <w:r w:rsidRPr="009B580E">
        <w:rPr>
          <w:rFonts w:ascii="Calibri" w:hAnsi="Calibri" w:cs="Calibri"/>
          <w:b/>
          <w:color w:val="auto"/>
        </w:rPr>
        <w:t>/2022.</w:t>
      </w:r>
    </w:p>
    <w:p w:rsidR="00971C16" w:rsidRPr="00964E56" w:rsidP="00E52D1C">
      <w:pPr>
        <w:spacing w:after="0" w:line="240" w:lineRule="auto"/>
        <w:jc w:val="both"/>
        <w:rPr>
          <w:rFonts w:eastAsia="Calibri" w:asciiTheme="minorHAnsi" w:hAnsiTheme="minorHAnsi" w:cstheme="minorHAnsi"/>
          <w:bCs/>
          <w:color w:val="000000"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Assunto</w:t>
      </w:r>
      <w:r w:rsidRPr="008C111E">
        <w:rPr>
          <w:rFonts w:ascii="Calibri" w:hAnsi="Calibri" w:cs="Calibri"/>
          <w:b/>
          <w:bCs/>
          <w:szCs w:val="24"/>
        </w:rPr>
        <w:t xml:space="preserve">: Emenda 01 ao </w:t>
      </w:r>
      <w:r w:rsidRPr="008C111E">
        <w:rPr>
          <w:rFonts w:asciiTheme="minorHAnsi" w:hAnsiTheme="minorHAnsi" w:cstheme="minorHAnsi"/>
          <w:b/>
          <w:bCs/>
          <w:szCs w:val="24"/>
        </w:rPr>
        <w:t xml:space="preserve">Projeto de Lei nº </w:t>
      </w:r>
      <w:r w:rsidR="00242B49">
        <w:rPr>
          <w:rFonts w:asciiTheme="minorHAnsi" w:hAnsiTheme="minorHAnsi" w:cstheme="minorHAnsi"/>
          <w:b/>
          <w:bCs/>
          <w:szCs w:val="24"/>
        </w:rPr>
        <w:t>1</w:t>
      </w:r>
      <w:r w:rsidR="001F4F2D">
        <w:rPr>
          <w:rFonts w:asciiTheme="minorHAnsi" w:hAnsiTheme="minorHAnsi" w:cstheme="minorHAnsi"/>
          <w:b/>
          <w:bCs/>
          <w:szCs w:val="24"/>
        </w:rPr>
        <w:t>95</w:t>
      </w:r>
      <w:r w:rsidRPr="008C111E" w:rsidR="00E166BC">
        <w:rPr>
          <w:rFonts w:asciiTheme="minorHAnsi" w:hAnsiTheme="minorHAnsi" w:cstheme="minorHAnsi"/>
          <w:b/>
          <w:bCs/>
          <w:szCs w:val="24"/>
        </w:rPr>
        <w:t>/2022</w:t>
      </w:r>
      <w:r w:rsidR="00242B49">
        <w:rPr>
          <w:rFonts w:asciiTheme="minorHAnsi" w:hAnsiTheme="minorHAnsi" w:cstheme="minorHAnsi"/>
          <w:bCs/>
          <w:szCs w:val="24"/>
        </w:rPr>
        <w:t xml:space="preserve">, que </w:t>
      </w:r>
      <w:r w:rsidRPr="00242B49" w:rsidR="00242B49">
        <w:rPr>
          <w:rFonts w:eastAsia="Calibri" w:asciiTheme="minorHAnsi" w:hAnsiTheme="minorHAnsi" w:cstheme="minorHAnsi"/>
          <w:bCs/>
          <w:color w:val="000000"/>
          <w:szCs w:val="24"/>
        </w:rPr>
        <w:t>“</w:t>
      </w:r>
      <w:r w:rsidRPr="001E0F14" w:rsidR="00964E56">
        <w:rPr>
          <w:rFonts w:eastAsia="Calibri" w:asciiTheme="minorHAnsi" w:hAnsiTheme="minorHAnsi" w:cstheme="minorHAnsi"/>
          <w:szCs w:val="24"/>
        </w:rPr>
        <w:t xml:space="preserve">Dispõe sobre a garantia de acesso ao diagnóstico e intervenção precoce do Transtorno do Espectro Autista (TEA) para crianças de até 36 (trinta e seis) meses de idade e cria diretrizes para o diagnóstico precoce no </w:t>
      </w:r>
      <w:r w:rsidR="00964E56">
        <w:rPr>
          <w:rFonts w:eastAsia="Calibri" w:asciiTheme="minorHAnsi" w:hAnsiTheme="minorHAnsi" w:cstheme="minorHAnsi"/>
          <w:szCs w:val="24"/>
        </w:rPr>
        <w:t>âmbito do Município de Valinhos</w:t>
      </w:r>
      <w:r w:rsidRPr="00971C16">
        <w:rPr>
          <w:rFonts w:eastAsia="Calibri" w:asciiTheme="minorHAnsi" w:hAnsiTheme="minorHAnsi" w:cstheme="minorHAnsi"/>
          <w:bCs/>
          <w:i/>
          <w:color w:val="000000"/>
          <w:szCs w:val="24"/>
        </w:rPr>
        <w:t>”</w:t>
      </w:r>
      <w:r>
        <w:rPr>
          <w:rFonts w:eastAsia="Calibri" w:asciiTheme="minorHAnsi" w:hAnsiTheme="minorHAnsi" w:cstheme="minorHAnsi"/>
          <w:bCs/>
          <w:i/>
          <w:color w:val="000000"/>
          <w:szCs w:val="24"/>
        </w:rPr>
        <w:t>.</w:t>
      </w:r>
    </w:p>
    <w:p w:rsidR="00E52D1C" w:rsidRPr="00DA5745" w:rsidP="00E52D1C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Autoria d</w:t>
      </w:r>
      <w:r>
        <w:rPr>
          <w:rFonts w:ascii="Calibri" w:hAnsi="Calibri" w:cs="Calibri"/>
          <w:b/>
          <w:bCs/>
          <w:szCs w:val="24"/>
        </w:rPr>
        <w:t xml:space="preserve">a </w:t>
      </w:r>
      <w:r w:rsidR="001F4F2D">
        <w:rPr>
          <w:rFonts w:ascii="Calibri" w:hAnsi="Calibri" w:cs="Calibri"/>
          <w:b/>
          <w:bCs/>
          <w:szCs w:val="24"/>
        </w:rPr>
        <w:t>Emenda</w:t>
      </w:r>
      <w:r w:rsidR="00E166BC">
        <w:rPr>
          <w:rFonts w:ascii="Calibri" w:hAnsi="Calibri" w:cs="Calibri"/>
          <w:b/>
          <w:bCs/>
          <w:szCs w:val="24"/>
        </w:rPr>
        <w:t xml:space="preserve"> </w:t>
      </w:r>
      <w:r w:rsidRPr="00DA5745">
        <w:rPr>
          <w:rFonts w:ascii="Calibri" w:hAnsi="Calibri" w:cs="Calibri"/>
          <w:b/>
          <w:bCs/>
          <w:szCs w:val="24"/>
        </w:rPr>
        <w:t>Vereador</w:t>
      </w:r>
      <w:r w:rsidR="001F4F2D">
        <w:rPr>
          <w:rFonts w:ascii="Calibri" w:hAnsi="Calibri" w:cs="Calibri"/>
          <w:b/>
          <w:bCs/>
          <w:szCs w:val="24"/>
        </w:rPr>
        <w:t xml:space="preserve"> </w:t>
      </w:r>
      <w:r w:rsidR="00AF1BF8">
        <w:rPr>
          <w:rFonts w:ascii="Calibri" w:hAnsi="Calibri" w:cs="Calibri"/>
          <w:b/>
          <w:bCs/>
          <w:szCs w:val="24"/>
        </w:rPr>
        <w:t>André Amaral</w:t>
      </w:r>
      <w:r w:rsidR="00E241DB">
        <w:rPr>
          <w:rFonts w:ascii="Calibri" w:hAnsi="Calibri" w:cs="Calibri"/>
          <w:b/>
          <w:bCs/>
          <w:szCs w:val="24"/>
        </w:rPr>
        <w:t>.</w:t>
      </w:r>
    </w:p>
    <w:p w:rsidR="00E52D1C" w:rsidRPr="00DA5745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52D1C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C21147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C21147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52D1C" w:rsidRPr="003A7521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E52D1C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E52D1C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52D1C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C21147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52D1C" w:rsidRPr="00081211" w:rsidP="00E52D1C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971C16" w:rsidP="00964E56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bCs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em epígrafe que visa </w:t>
      </w:r>
      <w:r>
        <w:rPr>
          <w:rFonts w:asciiTheme="minorHAnsi" w:hAnsiTheme="minorHAnsi" w:cstheme="minorHAnsi"/>
        </w:rPr>
        <w:t xml:space="preserve">alterar </w:t>
      </w:r>
      <w:r w:rsidR="00084441">
        <w:rPr>
          <w:rFonts w:asciiTheme="minorHAnsi" w:hAnsiTheme="minorHAnsi" w:cstheme="minorHAnsi"/>
        </w:rPr>
        <w:t>a Ementa; o a</w:t>
      </w:r>
      <w:r w:rsidRPr="00084441" w:rsidR="00084441">
        <w:rPr>
          <w:rFonts w:asciiTheme="minorHAnsi" w:hAnsiTheme="minorHAnsi" w:cstheme="minorHAnsi"/>
        </w:rPr>
        <w:t>rtigo 1º e o seu §1º; altera</w:t>
      </w:r>
      <w:r w:rsidR="00084441">
        <w:rPr>
          <w:rFonts w:asciiTheme="minorHAnsi" w:hAnsiTheme="minorHAnsi" w:cstheme="minorHAnsi"/>
        </w:rPr>
        <w:t>r</w:t>
      </w:r>
      <w:r w:rsidRPr="00084441" w:rsidR="00084441">
        <w:rPr>
          <w:rFonts w:asciiTheme="minorHAnsi" w:hAnsiTheme="minorHAnsi" w:cstheme="minorHAnsi"/>
        </w:rPr>
        <w:t xml:space="preserve"> o </w:t>
      </w:r>
      <w:r w:rsidR="00084441">
        <w:rPr>
          <w:rFonts w:asciiTheme="minorHAnsi" w:hAnsiTheme="minorHAnsi" w:cstheme="minorHAnsi"/>
        </w:rPr>
        <w:t>a</w:t>
      </w:r>
      <w:r w:rsidRPr="00084441" w:rsidR="00084441">
        <w:rPr>
          <w:rFonts w:asciiTheme="minorHAnsi" w:hAnsiTheme="minorHAnsi" w:cstheme="minorHAnsi"/>
        </w:rPr>
        <w:t>rt. 2º; acrescenta</w:t>
      </w:r>
      <w:r w:rsidR="00084441">
        <w:rPr>
          <w:rFonts w:asciiTheme="minorHAnsi" w:hAnsiTheme="minorHAnsi" w:cstheme="minorHAnsi"/>
        </w:rPr>
        <w:t>r</w:t>
      </w:r>
      <w:r w:rsidRPr="00084441" w:rsidR="00084441">
        <w:rPr>
          <w:rFonts w:asciiTheme="minorHAnsi" w:hAnsiTheme="minorHAnsi" w:cstheme="minorHAnsi"/>
        </w:rPr>
        <w:t xml:space="preserve"> a alínea “d” ao </w:t>
      </w:r>
      <w:r w:rsidR="00084441">
        <w:rPr>
          <w:rFonts w:asciiTheme="minorHAnsi" w:hAnsiTheme="minorHAnsi" w:cstheme="minorHAnsi"/>
        </w:rPr>
        <w:t>a</w:t>
      </w:r>
      <w:r w:rsidRPr="00084441" w:rsidR="00084441">
        <w:rPr>
          <w:rFonts w:asciiTheme="minorHAnsi" w:hAnsiTheme="minorHAnsi" w:cstheme="minorHAnsi"/>
        </w:rPr>
        <w:t>rt. 3º; altera</w:t>
      </w:r>
      <w:r w:rsidR="00084441">
        <w:rPr>
          <w:rFonts w:asciiTheme="minorHAnsi" w:hAnsiTheme="minorHAnsi" w:cstheme="minorHAnsi"/>
        </w:rPr>
        <w:t>r o art. 4º; suprimir</w:t>
      </w:r>
      <w:r w:rsidRPr="00084441" w:rsidR="00084441">
        <w:rPr>
          <w:rFonts w:asciiTheme="minorHAnsi" w:hAnsiTheme="minorHAnsi" w:cstheme="minorHAnsi"/>
        </w:rPr>
        <w:t xml:space="preserve"> o </w:t>
      </w:r>
      <w:r w:rsidR="00084441">
        <w:rPr>
          <w:rFonts w:asciiTheme="minorHAnsi" w:hAnsiTheme="minorHAnsi" w:cstheme="minorHAnsi"/>
        </w:rPr>
        <w:t>a</w:t>
      </w:r>
      <w:r w:rsidRPr="00084441" w:rsidR="00084441">
        <w:rPr>
          <w:rFonts w:asciiTheme="minorHAnsi" w:hAnsiTheme="minorHAnsi" w:cstheme="minorHAnsi"/>
        </w:rPr>
        <w:t>rt. 5º; altera</w:t>
      </w:r>
      <w:r w:rsidR="00084441">
        <w:rPr>
          <w:rFonts w:asciiTheme="minorHAnsi" w:hAnsiTheme="minorHAnsi" w:cstheme="minorHAnsi"/>
        </w:rPr>
        <w:t>r</w:t>
      </w:r>
      <w:r w:rsidRPr="00084441" w:rsidR="00084441">
        <w:rPr>
          <w:rFonts w:asciiTheme="minorHAnsi" w:hAnsiTheme="minorHAnsi" w:cstheme="minorHAnsi"/>
        </w:rPr>
        <w:t xml:space="preserve"> e renumera</w:t>
      </w:r>
      <w:r w:rsidR="00084441">
        <w:rPr>
          <w:rFonts w:asciiTheme="minorHAnsi" w:hAnsiTheme="minorHAnsi" w:cstheme="minorHAnsi"/>
        </w:rPr>
        <w:t>r</w:t>
      </w:r>
      <w:r w:rsidRPr="00084441" w:rsidR="00084441">
        <w:rPr>
          <w:rFonts w:asciiTheme="minorHAnsi" w:hAnsiTheme="minorHAnsi" w:cstheme="minorHAnsi"/>
        </w:rPr>
        <w:t xml:space="preserve"> o </w:t>
      </w:r>
      <w:r w:rsidR="00084441">
        <w:rPr>
          <w:rFonts w:asciiTheme="minorHAnsi" w:hAnsiTheme="minorHAnsi" w:cstheme="minorHAnsi"/>
        </w:rPr>
        <w:t>a</w:t>
      </w:r>
      <w:r w:rsidRPr="00084441" w:rsidR="00084441">
        <w:rPr>
          <w:rFonts w:asciiTheme="minorHAnsi" w:hAnsiTheme="minorHAnsi" w:cstheme="minorHAnsi"/>
        </w:rPr>
        <w:t>rt. 6º; e renumera</w:t>
      </w:r>
      <w:r w:rsidR="00084441">
        <w:rPr>
          <w:rFonts w:asciiTheme="minorHAnsi" w:hAnsiTheme="minorHAnsi" w:cstheme="minorHAnsi"/>
        </w:rPr>
        <w:t>r os a</w:t>
      </w:r>
      <w:r w:rsidRPr="00084441" w:rsidR="00084441">
        <w:rPr>
          <w:rFonts w:asciiTheme="minorHAnsi" w:hAnsiTheme="minorHAnsi" w:cstheme="minorHAnsi"/>
        </w:rPr>
        <w:t>rts. 7º e 8º</w:t>
      </w:r>
      <w:r w:rsidRPr="001F4F2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bCs/>
        </w:rPr>
        <w:t xml:space="preserve">do projeto de Lei </w:t>
      </w:r>
      <w:r w:rsidR="00E166BC">
        <w:rPr>
          <w:rFonts w:asciiTheme="minorHAnsi" w:hAnsiTheme="minorHAnsi" w:cstheme="minorHAnsi"/>
          <w:bCs/>
        </w:rPr>
        <w:t xml:space="preserve">nº </w:t>
      </w:r>
      <w:r>
        <w:rPr>
          <w:rFonts w:asciiTheme="minorHAnsi" w:hAnsiTheme="minorHAnsi" w:cstheme="minorHAnsi"/>
          <w:bCs/>
        </w:rPr>
        <w:t>1</w:t>
      </w:r>
      <w:r w:rsidR="001F4F2D">
        <w:rPr>
          <w:rFonts w:asciiTheme="minorHAnsi" w:hAnsiTheme="minorHAnsi" w:cstheme="minorHAnsi"/>
          <w:bCs/>
        </w:rPr>
        <w:t>95</w:t>
      </w:r>
      <w:r w:rsidRPr="00E166BC" w:rsidR="00E166BC">
        <w:rPr>
          <w:rFonts w:asciiTheme="minorHAnsi" w:hAnsiTheme="minorHAnsi" w:cstheme="minorHAnsi"/>
          <w:bCs/>
        </w:rPr>
        <w:t xml:space="preserve">/2022, que </w:t>
      </w:r>
      <w:r w:rsidRPr="00242B49">
        <w:rPr>
          <w:rFonts w:asciiTheme="minorHAnsi" w:hAnsiTheme="minorHAnsi" w:cstheme="minorHAnsi"/>
          <w:bCs/>
        </w:rPr>
        <w:t>“</w:t>
      </w:r>
      <w:r w:rsidRPr="00964E56" w:rsidR="00964E56">
        <w:rPr>
          <w:rFonts w:asciiTheme="minorHAnsi" w:hAnsiTheme="minorHAnsi" w:cstheme="minorHAnsi"/>
          <w:i/>
        </w:rPr>
        <w:t>Dispõe sobre a garantia de acesso ao diagnóstico e intervenção precoce do Transtorno do Espectro Autista (TEA) para crianças de até 36 (trinta e seis) meses de idade e cria diretrizes para o diagnóstico precoce no âmbito do Município de Valinhos</w:t>
      </w:r>
      <w:r w:rsidRPr="00964E56">
        <w:rPr>
          <w:rFonts w:asciiTheme="minorHAnsi" w:hAnsiTheme="minorHAnsi" w:cstheme="minorHAnsi"/>
          <w:bCs/>
          <w:i/>
        </w:rPr>
        <w:t>”</w:t>
      </w:r>
      <w:r w:rsidRPr="00964E56" w:rsidR="00941A33">
        <w:rPr>
          <w:rFonts w:asciiTheme="minorHAnsi" w:hAnsiTheme="minorHAnsi" w:cstheme="minorHAnsi"/>
          <w:bCs/>
          <w:i/>
        </w:rPr>
        <w:t>,</w:t>
      </w:r>
      <w:r w:rsidR="00941A33">
        <w:rPr>
          <w:rFonts w:asciiTheme="minorHAnsi" w:hAnsiTheme="minorHAnsi" w:cstheme="minorHAnsi"/>
          <w:bCs/>
          <w:i/>
        </w:rPr>
        <w:t xml:space="preserve"> </w:t>
      </w:r>
      <w:r w:rsidR="00941A33">
        <w:rPr>
          <w:rFonts w:asciiTheme="minorHAnsi" w:hAnsiTheme="minorHAnsi" w:cstheme="minorHAnsi"/>
          <w:bCs/>
        </w:rPr>
        <w:t>nos seguintes termos: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:rsidTr="00C21147">
        <w:tblPrEx>
          <w:tblW w:w="0" w:type="auto"/>
          <w:tblLook w:val="04A0"/>
        </w:tblPrEx>
        <w:trPr>
          <w:trHeight w:val="544"/>
        </w:trPr>
        <w:tc>
          <w:tcPr>
            <w:tcW w:w="4322" w:type="dxa"/>
            <w:vAlign w:val="center"/>
          </w:tcPr>
          <w:p w:rsidR="00941A33" w:rsidRPr="00F72453" w:rsidP="001F4F2D">
            <w:pPr>
              <w:pStyle w:val="Default"/>
              <w:spacing w:after="24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F72453">
              <w:rPr>
                <w:rFonts w:asciiTheme="minorHAnsi" w:hAnsiTheme="minorHAnsi" w:cstheme="minorHAnsi"/>
                <w:b/>
                <w:bCs/>
                <w:i/>
              </w:rPr>
              <w:t>Projeto de Lei 1</w:t>
            </w:r>
            <w:r w:rsidRPr="00F72453" w:rsidR="001F4F2D">
              <w:rPr>
                <w:rFonts w:asciiTheme="minorHAnsi" w:hAnsiTheme="minorHAnsi" w:cstheme="minorHAnsi"/>
                <w:b/>
                <w:bCs/>
                <w:i/>
              </w:rPr>
              <w:t>95</w:t>
            </w:r>
            <w:r w:rsidRPr="00F72453">
              <w:rPr>
                <w:rFonts w:asciiTheme="minorHAnsi" w:hAnsiTheme="minorHAnsi" w:cstheme="minorHAnsi"/>
                <w:b/>
                <w:bCs/>
                <w:i/>
              </w:rPr>
              <w:t>/22</w:t>
            </w:r>
          </w:p>
        </w:tc>
        <w:tc>
          <w:tcPr>
            <w:tcW w:w="4322" w:type="dxa"/>
            <w:vAlign w:val="center"/>
          </w:tcPr>
          <w:p w:rsidR="00941A33" w:rsidRPr="00F72453" w:rsidP="001F4F2D">
            <w:pPr>
              <w:pStyle w:val="Default"/>
              <w:spacing w:after="24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F72453">
              <w:rPr>
                <w:rFonts w:asciiTheme="minorHAnsi" w:hAnsiTheme="minorHAnsi" w:cstheme="minorHAnsi"/>
                <w:b/>
                <w:bCs/>
                <w:i/>
              </w:rPr>
              <w:t>Emenda 01 ao PL 1</w:t>
            </w:r>
            <w:r w:rsidRPr="00F72453" w:rsidR="001F4F2D">
              <w:rPr>
                <w:rFonts w:asciiTheme="minorHAnsi" w:hAnsiTheme="minorHAnsi" w:cstheme="minorHAnsi"/>
                <w:b/>
                <w:bCs/>
                <w:i/>
              </w:rPr>
              <w:t>95</w:t>
            </w:r>
            <w:r w:rsidRPr="00F72453">
              <w:rPr>
                <w:rFonts w:asciiTheme="minorHAnsi" w:hAnsiTheme="minorHAnsi" w:cstheme="minorHAnsi"/>
                <w:b/>
                <w:bCs/>
                <w:i/>
              </w:rPr>
              <w:t>/22</w:t>
            </w:r>
          </w:p>
        </w:tc>
      </w:tr>
      <w:tr w:rsidTr="00941A33">
        <w:tblPrEx>
          <w:tblW w:w="0" w:type="auto"/>
          <w:tblLook w:val="04A0"/>
        </w:tblPrEx>
        <w:tc>
          <w:tcPr>
            <w:tcW w:w="4322" w:type="dxa"/>
          </w:tcPr>
          <w:p w:rsidR="00941A33" w:rsidP="00941A33">
            <w:pPr>
              <w:pStyle w:val="BodyText"/>
              <w:spacing w:line="276" w:lineRule="auto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F72453" w:rsidRPr="00F72453" w:rsidP="00F81E4E">
            <w:pPr>
              <w:pStyle w:val="BodyText"/>
              <w:spacing w:line="276" w:lineRule="auto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F72453">
              <w:rPr>
                <w:rFonts w:asciiTheme="minorHAnsi" w:hAnsiTheme="minorHAnsi" w:cstheme="minorHAnsi"/>
              </w:rPr>
              <w:t xml:space="preserve">Dispõe sobre a garantia de acesso ao diagnóstico </w:t>
            </w:r>
            <w:r w:rsidRPr="00906F9F">
              <w:rPr>
                <w:rFonts w:asciiTheme="minorHAnsi" w:hAnsiTheme="minorHAnsi" w:cstheme="minorHAnsi"/>
                <w:b/>
              </w:rPr>
              <w:t>e intervenção precoce do Transtorno do Espectro Autista (TEA)</w:t>
            </w:r>
            <w:r w:rsidRPr="00F72453">
              <w:rPr>
                <w:rFonts w:asciiTheme="minorHAnsi" w:hAnsiTheme="minorHAnsi" w:cstheme="minorHAnsi"/>
              </w:rPr>
              <w:t xml:space="preserve"> </w:t>
            </w:r>
            <w:r w:rsidRPr="00F72453">
              <w:rPr>
                <w:rFonts w:asciiTheme="minorHAnsi" w:hAnsiTheme="minorHAnsi" w:cstheme="minorHAnsi"/>
                <w:b/>
              </w:rPr>
              <w:t>para crianças de até 36 (trinta e seis) meses de idade</w:t>
            </w:r>
            <w:r w:rsidRPr="00906F9F">
              <w:rPr>
                <w:rFonts w:asciiTheme="minorHAnsi" w:hAnsiTheme="minorHAnsi" w:cstheme="minorHAnsi"/>
                <w:b/>
              </w:rPr>
              <w:t xml:space="preserve">, e cria diretrizes para o diagnóstico precoce </w:t>
            </w:r>
            <w:r w:rsidRPr="00F72453">
              <w:rPr>
                <w:rFonts w:asciiTheme="minorHAnsi" w:hAnsiTheme="minorHAnsi" w:cstheme="minorHAnsi"/>
              </w:rPr>
              <w:t>no âmbito do Município de Valinhos.</w:t>
            </w:r>
          </w:p>
        </w:tc>
        <w:tc>
          <w:tcPr>
            <w:tcW w:w="4322" w:type="dxa"/>
          </w:tcPr>
          <w:p w:rsidR="00964E56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</w:rPr>
            </w:pPr>
            <w:r w:rsidRPr="00F72453">
              <w:rPr>
                <w:rFonts w:asciiTheme="minorHAnsi" w:hAnsiTheme="minorHAnsi" w:cstheme="minorHAnsi"/>
              </w:rPr>
              <w:t xml:space="preserve">Art. 1º- Fica alterada a ementa do Projeto de Lei 195/2022, que passa a ter a seguinte redação: </w:t>
            </w:r>
          </w:p>
          <w:p w:rsidR="00941A33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2453">
              <w:rPr>
                <w:rFonts w:asciiTheme="minorHAnsi" w:hAnsiTheme="minorHAnsi" w:cstheme="minorHAnsi"/>
              </w:rPr>
              <w:t xml:space="preserve">Dispõe sobre a garantia do acesso ao diagnóstico </w:t>
            </w:r>
            <w:r w:rsidRPr="00906F9F">
              <w:rPr>
                <w:rFonts w:asciiTheme="minorHAnsi" w:hAnsiTheme="minorHAnsi" w:cstheme="minorHAnsi"/>
                <w:b/>
              </w:rPr>
              <w:t>precoce do Transtorno do Espectro Autista (TEA)</w:t>
            </w:r>
            <w:r w:rsidRPr="00F72453">
              <w:rPr>
                <w:rFonts w:asciiTheme="minorHAnsi" w:hAnsiTheme="minorHAnsi" w:cstheme="minorHAnsi"/>
              </w:rPr>
              <w:t xml:space="preserve"> </w:t>
            </w:r>
            <w:r w:rsidRPr="00906F9F">
              <w:rPr>
                <w:rFonts w:asciiTheme="minorHAnsi" w:hAnsiTheme="minorHAnsi" w:cstheme="minorHAnsi"/>
                <w:b/>
              </w:rPr>
              <w:t xml:space="preserve">e intervenção precoce </w:t>
            </w:r>
            <w:r w:rsidRPr="00F72453">
              <w:rPr>
                <w:rFonts w:asciiTheme="minorHAnsi" w:hAnsiTheme="minorHAnsi" w:cstheme="minorHAnsi"/>
              </w:rPr>
              <w:t>no âmbito do Município de Valinhos.</w:t>
            </w:r>
          </w:p>
        </w:tc>
      </w:tr>
      <w:tr w:rsidTr="00941A33">
        <w:tblPrEx>
          <w:tblW w:w="0" w:type="auto"/>
          <w:tblLook w:val="04A0"/>
        </w:tblPrEx>
        <w:tc>
          <w:tcPr>
            <w:tcW w:w="4322" w:type="dxa"/>
          </w:tcPr>
          <w:p w:rsidR="00964E56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906F9F" w:rsidP="00941A33">
            <w:pPr>
              <w:pStyle w:val="BodyText"/>
              <w:ind w:left="306" w:right="119"/>
              <w:jc w:val="both"/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</w:pPr>
          </w:p>
          <w:p w:rsidR="00906F9F" w:rsidP="00941A33">
            <w:pPr>
              <w:pStyle w:val="BodyText"/>
              <w:ind w:left="306" w:right="119"/>
              <w:jc w:val="both"/>
              <w:rPr>
                <w:rFonts w:eastAsia="Calibri" w:asciiTheme="minorHAnsi" w:hAnsiTheme="minorHAnsi" w:cstheme="minorHAnsi"/>
                <w:color w:val="000000"/>
                <w:szCs w:val="24"/>
              </w:rPr>
            </w:pPr>
            <w:r w:rsidRPr="00906F9F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Art. 1º.</w:t>
            </w:r>
            <w:r w:rsidRPr="00906F9F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 Fica instituída, no âmbito do Município de Valinhos, a garantia do acesso ao diagnóstico precoce, ainda que não definitivo, do Transtorno do Espectro Autista (TEA) </w:t>
            </w:r>
            <w:r w:rsidRPr="00906F9F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para crianças de até 36 (trinta e seis) meses de idade,</w:t>
            </w:r>
            <w:r w:rsidRPr="00906F9F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 </w:t>
            </w:r>
            <w:r w:rsidRPr="00906F9F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bem como a intervenção precoce para tratamento da criança</w:t>
            </w:r>
            <w:r w:rsidRPr="00906F9F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 e atendimento de seus familiares responsáveis. </w:t>
            </w:r>
          </w:p>
          <w:p w:rsidR="00906F9F" w:rsidRPr="00F72453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06F9F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§ 1º. Para os efeitos desta Lei, é considerada pessoa com Transtorno Espectro Autista (TEA) </w:t>
            </w:r>
            <w:r w:rsidRPr="00906F9F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aquela com anomalia qualitativa constituída por característica global do desenvolvimento, conforme definido na classificação estatística internacional de doenças e problemas relacionados com a saúde (CID) da Organização Mundial da Saúde (OMS), bem como definida na Lei Federal nº 12.764/2012.</w:t>
            </w:r>
          </w:p>
        </w:tc>
        <w:tc>
          <w:tcPr>
            <w:tcW w:w="4322" w:type="dxa"/>
          </w:tcPr>
          <w:p w:rsidR="00964E56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</w:rPr>
            </w:pPr>
            <w:r w:rsidRPr="00F72453">
              <w:rPr>
                <w:rFonts w:asciiTheme="minorHAnsi" w:hAnsiTheme="minorHAnsi" w:cstheme="minorHAnsi"/>
              </w:rPr>
              <w:t>Art. 2º- O Art. 1º e seu §1º passam a ter a seguinte redação, ficando mantido o §2º</w:t>
            </w:r>
            <w:r w:rsidRPr="00F72453">
              <w:rPr>
                <w:rFonts w:asciiTheme="minorHAnsi" w:hAnsiTheme="minorHAnsi" w:cstheme="minorHAnsi"/>
              </w:rPr>
              <w:t>::</w:t>
            </w:r>
            <w:r w:rsidRPr="00F72453">
              <w:rPr>
                <w:rFonts w:asciiTheme="minorHAnsi" w:hAnsiTheme="minorHAnsi" w:cstheme="minorHAnsi"/>
              </w:rPr>
              <w:t xml:space="preserve"> </w:t>
            </w:r>
          </w:p>
          <w:p w:rsidR="00964E56" w:rsidRPr="00F72453" w:rsidP="00906F9F">
            <w:pPr>
              <w:pStyle w:val="Default"/>
              <w:spacing w:after="360"/>
              <w:ind w:left="215"/>
              <w:jc w:val="both"/>
              <w:rPr>
                <w:rFonts w:asciiTheme="minorHAnsi" w:hAnsiTheme="minorHAnsi" w:cstheme="minorHAnsi"/>
              </w:rPr>
            </w:pPr>
            <w:r w:rsidRPr="00906F9F">
              <w:rPr>
                <w:rFonts w:asciiTheme="minorHAnsi" w:hAnsiTheme="minorHAnsi" w:cstheme="minorHAnsi"/>
                <w:b/>
              </w:rPr>
              <w:t>Art. 1º.</w:t>
            </w:r>
            <w:r w:rsidRPr="00F72453">
              <w:rPr>
                <w:rFonts w:asciiTheme="minorHAnsi" w:hAnsiTheme="minorHAnsi" w:cstheme="minorHAnsi"/>
              </w:rPr>
              <w:t xml:space="preserve"> Fica instituída a política municipal para a garantia do diagnóstico precoce, ainda que não definitivo, do Transtorno do Espectro Autista (TEA), </w:t>
            </w:r>
            <w:r w:rsidRPr="00906F9F">
              <w:rPr>
                <w:rFonts w:asciiTheme="minorHAnsi" w:hAnsiTheme="minorHAnsi" w:cstheme="minorHAnsi"/>
                <w:b/>
              </w:rPr>
              <w:t>bem como a garantia da intervenção precoce para tratamento da criança, desde o nascimento,</w:t>
            </w:r>
            <w:r w:rsidRPr="00F72453">
              <w:rPr>
                <w:rFonts w:asciiTheme="minorHAnsi" w:hAnsiTheme="minorHAnsi" w:cstheme="minorHAnsi"/>
              </w:rPr>
              <w:t xml:space="preserve"> e atendimento de seus familiares responsáveis. </w:t>
            </w:r>
          </w:p>
          <w:p w:rsidR="00964E56" w:rsidRPr="00F72453" w:rsidP="00906F9F">
            <w:pPr>
              <w:pStyle w:val="Default"/>
              <w:spacing w:after="360"/>
              <w:ind w:left="215"/>
              <w:jc w:val="both"/>
              <w:rPr>
                <w:rFonts w:asciiTheme="minorHAnsi" w:hAnsiTheme="minorHAnsi" w:cstheme="minorHAnsi"/>
              </w:rPr>
            </w:pPr>
            <w:r w:rsidRPr="00F72453">
              <w:rPr>
                <w:rFonts w:asciiTheme="minorHAnsi" w:hAnsiTheme="minorHAnsi" w:cstheme="minorHAnsi"/>
              </w:rPr>
              <w:t xml:space="preserve">§ 1º. Para os efeitos desta Lei, é considerada pessoa com Transtorno Espectro Autista </w:t>
            </w:r>
            <w:r w:rsidRPr="00906F9F">
              <w:rPr>
                <w:rFonts w:asciiTheme="minorHAnsi" w:hAnsiTheme="minorHAnsi" w:cstheme="minorHAnsi"/>
                <w:b/>
              </w:rPr>
              <w:t>aquela portadora de síndrome clínica caracterizada na forma prevista com anomalia qualitativa constituída por característica global do desenvolvimento, conforme definido na classificação estatística internacional de doenças e problemas relacionados com a saúde (CID) da Organização Mundial da Saúde (OMS), bem como definida na Lei Federal nº 12.764, de 27 de dezembro de 2012.</w:t>
            </w:r>
            <w:r w:rsidRPr="00F72453">
              <w:rPr>
                <w:rFonts w:asciiTheme="minorHAnsi" w:hAnsiTheme="minorHAnsi" w:cstheme="minorHAnsi"/>
              </w:rPr>
              <w:t xml:space="preserve"> </w:t>
            </w:r>
          </w:p>
          <w:p w:rsidR="00964E56" w:rsidRPr="00F72453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2453">
              <w:rPr>
                <w:rFonts w:asciiTheme="minorHAnsi" w:hAnsiTheme="minorHAnsi" w:cstheme="minorHAnsi"/>
              </w:rPr>
              <w:t>§</w:t>
            </w:r>
            <w:r w:rsidRPr="00F72453">
              <w:rPr>
                <w:rFonts w:asciiTheme="minorHAnsi" w:hAnsiTheme="minorHAnsi" w:cstheme="minorHAnsi"/>
              </w:rPr>
              <w:t>2º …</w:t>
            </w:r>
          </w:p>
        </w:tc>
      </w:tr>
      <w:tr w:rsidTr="00941A33">
        <w:tblPrEx>
          <w:tblW w:w="0" w:type="auto"/>
          <w:tblLook w:val="04A0"/>
        </w:tblPrEx>
        <w:tc>
          <w:tcPr>
            <w:tcW w:w="4322" w:type="dxa"/>
          </w:tcPr>
          <w:p w:rsidR="00964E56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906F9F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906F9F" w:rsidRPr="00906F9F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  <w:p w:rsidR="00906F9F" w:rsidRPr="00F72453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06F9F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Art. 2º</w:t>
            </w:r>
            <w:r w:rsidRPr="00906F9F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. </w:t>
            </w:r>
            <w:r w:rsidRPr="00384802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 xml:space="preserve">Será garantida a aplicação do Protocolo do Estado de São Paulo de Diagnóstico, Tratamento e Encaminhamento de Pacientes com Transtorno do Espectro Autista (TEA) a todas as crianças de até 36 </w:t>
            </w:r>
            <w:r w:rsidRPr="00384802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(trinta e seis) meses de vida, com a finalidade de facilitar a detecção de risco para o seu desenvolvimento psíquico, conforme as recomendações que constam no Protocolo Estadual</w:t>
            </w:r>
            <w:r w:rsidRPr="00384802">
              <w:rPr>
                <w:b/>
              </w:rPr>
              <w:t>.</w:t>
            </w:r>
          </w:p>
        </w:tc>
        <w:tc>
          <w:tcPr>
            <w:tcW w:w="4322" w:type="dxa"/>
          </w:tcPr>
          <w:p w:rsidR="00964E56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</w:rPr>
            </w:pPr>
            <w:r w:rsidRPr="00F72453">
              <w:rPr>
                <w:rFonts w:asciiTheme="minorHAnsi" w:hAnsiTheme="minorHAnsi" w:cstheme="minorHAnsi"/>
              </w:rPr>
              <w:t xml:space="preserve">Art. 3º- Altera o caput do Art. 2º e acrescenta os incisos de I ao IV, passando a ter a seguinte redação: </w:t>
            </w:r>
          </w:p>
          <w:p w:rsidR="00964E56" w:rsidRPr="00F72453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</w:rPr>
            </w:pPr>
            <w:r w:rsidRPr="00906F9F">
              <w:rPr>
                <w:rFonts w:asciiTheme="minorHAnsi" w:hAnsiTheme="minorHAnsi" w:cstheme="minorHAnsi"/>
                <w:b/>
              </w:rPr>
              <w:t>Art. 2º</w:t>
            </w:r>
            <w:r w:rsidRPr="00F72453">
              <w:rPr>
                <w:rFonts w:asciiTheme="minorHAnsi" w:hAnsiTheme="minorHAnsi" w:cstheme="minorHAnsi"/>
              </w:rPr>
              <w:t xml:space="preserve">. São princípios e diretrizes desta política: </w:t>
            </w:r>
          </w:p>
          <w:p w:rsidR="00964E56" w:rsidRPr="00384802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/>
              </w:rPr>
            </w:pPr>
            <w:r w:rsidRPr="00384802">
              <w:rPr>
                <w:rFonts w:asciiTheme="minorHAnsi" w:hAnsiTheme="minorHAnsi" w:cstheme="minorHAnsi"/>
                <w:b/>
              </w:rPr>
              <w:t xml:space="preserve">I - Garantir o acesso a protocolos de diagnóstico precoce do Transtorno do Espectro </w:t>
            </w:r>
            <w:r w:rsidR="00943C14">
              <w:rPr>
                <w:rFonts w:asciiTheme="minorHAnsi" w:hAnsiTheme="minorHAnsi" w:cstheme="minorHAnsi"/>
                <w:b/>
              </w:rPr>
              <w:t>Auti</w:t>
            </w:r>
            <w:r w:rsidRPr="00384802">
              <w:rPr>
                <w:rFonts w:asciiTheme="minorHAnsi" w:hAnsiTheme="minorHAnsi" w:cstheme="minorHAnsi"/>
                <w:b/>
              </w:rPr>
              <w:t xml:space="preserve">sta (TEA) às crianças </w:t>
            </w:r>
            <w:r w:rsidRPr="00384802">
              <w:rPr>
                <w:rFonts w:asciiTheme="minorHAnsi" w:hAnsiTheme="minorHAnsi" w:cstheme="minorHAnsi"/>
                <w:b/>
              </w:rPr>
              <w:t xml:space="preserve">desde o seu nascimento; </w:t>
            </w:r>
          </w:p>
          <w:p w:rsidR="00964E56" w:rsidRPr="00384802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/>
              </w:rPr>
            </w:pPr>
            <w:r w:rsidRPr="00384802">
              <w:rPr>
                <w:rFonts w:asciiTheme="minorHAnsi" w:hAnsiTheme="minorHAnsi" w:cstheme="minorHAnsi"/>
                <w:b/>
              </w:rPr>
              <w:t>II - Incentivar o diagnóstico precoce do Tratamento do Espectro Autista (TEA);</w:t>
            </w:r>
          </w:p>
          <w:p w:rsidR="00964E56" w:rsidRPr="00384802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/>
              </w:rPr>
            </w:pPr>
            <w:r w:rsidRPr="00384802">
              <w:rPr>
                <w:rFonts w:asciiTheme="minorHAnsi" w:hAnsiTheme="minorHAnsi" w:cstheme="minorHAnsi"/>
                <w:b/>
              </w:rPr>
              <w:t xml:space="preserve">III - Garantir a intervenção precoce; </w:t>
            </w:r>
          </w:p>
          <w:p w:rsidR="00964E56" w:rsidRPr="00F72453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84802">
              <w:rPr>
                <w:rFonts w:asciiTheme="minorHAnsi" w:hAnsiTheme="minorHAnsi" w:cstheme="minorHAnsi"/>
                <w:b/>
              </w:rPr>
              <w:t>IV - Promover a atenção integral às necessidades de saúde da pessoa com Transtorno do Espectro Autista (TEA), objetivando o diagnóstico precoce, o atendimento multiprofissional e o acesso a medicamentos e nutrientes.</w:t>
            </w:r>
          </w:p>
        </w:tc>
      </w:tr>
      <w:tr w:rsidTr="00941A33">
        <w:tblPrEx>
          <w:tblW w:w="0" w:type="auto"/>
          <w:tblLook w:val="04A0"/>
        </w:tblPrEx>
        <w:tc>
          <w:tcPr>
            <w:tcW w:w="4322" w:type="dxa"/>
          </w:tcPr>
          <w:p w:rsidR="00964E56" w:rsidRPr="00384802" w:rsidP="00941A33">
            <w:pPr>
              <w:pStyle w:val="BodyText"/>
              <w:ind w:left="306" w:right="119"/>
              <w:jc w:val="both"/>
              <w:rPr>
                <w:rFonts w:eastAsia="Calibri" w:asciiTheme="minorHAnsi" w:hAnsiTheme="minorHAnsi" w:cstheme="minorHAnsi"/>
                <w:color w:val="000000"/>
                <w:szCs w:val="24"/>
              </w:rPr>
            </w:pPr>
          </w:p>
          <w:p w:rsidR="00384802" w:rsidRPr="00384802" w:rsidP="00941A33">
            <w:pPr>
              <w:pStyle w:val="BodyText"/>
              <w:ind w:left="306" w:right="119"/>
              <w:jc w:val="both"/>
              <w:rPr>
                <w:rFonts w:eastAsia="Calibri" w:asciiTheme="minorHAnsi" w:hAnsiTheme="minorHAnsi" w:cstheme="minorHAnsi"/>
                <w:color w:val="000000"/>
                <w:szCs w:val="24"/>
              </w:rPr>
            </w:pPr>
            <w:r w:rsidRPr="00384802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Art. 3º.</w:t>
            </w:r>
            <w:r w:rsidRPr="00384802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 Fica garantido o acesso a ações e serviços de saúde, com vistas à atenção integral às necessidades de saúde da criança diagnosticada com Transtorno do Espectro Autista (TEA), ainda que de forma não definitiva, que incluirão, entre outros: </w:t>
            </w:r>
          </w:p>
          <w:p w:rsidR="00384802" w:rsidRPr="00384802" w:rsidP="00941A33">
            <w:pPr>
              <w:pStyle w:val="BodyText"/>
              <w:ind w:left="306" w:right="119"/>
              <w:jc w:val="both"/>
              <w:rPr>
                <w:rFonts w:eastAsia="Calibri" w:asciiTheme="minorHAnsi" w:hAnsiTheme="minorHAnsi" w:cstheme="minorHAnsi"/>
                <w:color w:val="000000"/>
                <w:szCs w:val="24"/>
              </w:rPr>
            </w:pPr>
            <w:r w:rsidRPr="00384802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a) O atendimento multiprofissional; </w:t>
            </w:r>
          </w:p>
          <w:p w:rsidR="00384802" w:rsidRPr="00384802" w:rsidP="00941A33">
            <w:pPr>
              <w:pStyle w:val="BodyText"/>
              <w:ind w:left="306" w:right="119"/>
              <w:jc w:val="both"/>
              <w:rPr>
                <w:rFonts w:eastAsia="Calibri" w:asciiTheme="minorHAnsi" w:hAnsiTheme="minorHAnsi" w:cstheme="minorHAnsi"/>
                <w:color w:val="000000"/>
                <w:szCs w:val="24"/>
              </w:rPr>
            </w:pPr>
            <w:r w:rsidRPr="00384802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b) A nutrição adequada e terapia nutricional; </w:t>
            </w:r>
          </w:p>
          <w:p w:rsidR="00384802" w:rsidRPr="00F72453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384802">
              <w:rPr>
                <w:rFonts w:eastAsia="Calibri" w:asciiTheme="minorHAnsi" w:hAnsiTheme="minorHAnsi" w:cstheme="minorHAnsi"/>
                <w:color w:val="000000"/>
                <w:szCs w:val="24"/>
              </w:rPr>
              <w:t>c) Os medicamentos necessários ao tratamento</w:t>
            </w:r>
          </w:p>
        </w:tc>
        <w:tc>
          <w:tcPr>
            <w:tcW w:w="4322" w:type="dxa"/>
          </w:tcPr>
          <w:p w:rsidR="00F72453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</w:rPr>
            </w:pPr>
            <w:r w:rsidRPr="00F72453">
              <w:rPr>
                <w:rFonts w:asciiTheme="minorHAnsi" w:hAnsiTheme="minorHAnsi" w:cstheme="minorHAnsi"/>
              </w:rPr>
              <w:t xml:space="preserve">Art. 4º- </w:t>
            </w:r>
            <w:r w:rsidRPr="00384802">
              <w:rPr>
                <w:rFonts w:asciiTheme="minorHAnsi" w:hAnsiTheme="minorHAnsi" w:cstheme="minorHAnsi"/>
                <w:b/>
              </w:rPr>
              <w:t>Acrescente a alínea “d” ao Art. 3º</w:t>
            </w:r>
            <w:r w:rsidRPr="00F72453">
              <w:rPr>
                <w:rFonts w:asciiTheme="minorHAnsi" w:hAnsiTheme="minorHAnsi" w:cstheme="minorHAnsi"/>
              </w:rPr>
              <w:t xml:space="preserve">, com a seguinte redação: </w:t>
            </w:r>
          </w:p>
          <w:p w:rsidR="00F72453" w:rsidRPr="00906F9F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/>
              </w:rPr>
            </w:pPr>
            <w:r w:rsidRPr="00906F9F">
              <w:rPr>
                <w:rFonts w:asciiTheme="minorHAnsi" w:hAnsiTheme="minorHAnsi" w:cstheme="minorHAnsi"/>
                <w:b/>
              </w:rPr>
              <w:t xml:space="preserve">Art. 3º. … </w:t>
            </w:r>
          </w:p>
          <w:p w:rsidR="00F72453" w:rsidRPr="00F72453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</w:rPr>
            </w:pPr>
            <w:r w:rsidRPr="00F72453">
              <w:rPr>
                <w:rFonts w:asciiTheme="minorHAnsi" w:hAnsiTheme="minorHAnsi" w:cstheme="minorHAnsi"/>
              </w:rPr>
              <w:t xml:space="preserve">… </w:t>
            </w:r>
          </w:p>
          <w:p w:rsidR="00964E56" w:rsidRPr="00F72453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2453">
              <w:rPr>
                <w:rFonts w:asciiTheme="minorHAnsi" w:hAnsiTheme="minorHAnsi" w:cstheme="minorHAnsi"/>
              </w:rPr>
              <w:t>d) Informações que auxiliem no diagnóstico definitivo e no tratamento.</w:t>
            </w:r>
          </w:p>
        </w:tc>
      </w:tr>
      <w:tr w:rsidTr="00941A33">
        <w:tblPrEx>
          <w:tblW w:w="0" w:type="auto"/>
          <w:tblLook w:val="04A0"/>
        </w:tblPrEx>
        <w:tc>
          <w:tcPr>
            <w:tcW w:w="4322" w:type="dxa"/>
          </w:tcPr>
          <w:p w:rsidR="00964E56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384802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384802" w:rsidRPr="00F72453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384802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Art. 4º.</w:t>
            </w:r>
            <w:r w:rsidRPr="00384802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 O Poder Público poderá, a seu critério e conveniência, divulgar a necessidade de diagnóstico precoce do Transtorno do Espectro Autista (TEA) </w:t>
            </w:r>
            <w:r w:rsidRPr="00794DAF">
              <w:rPr>
                <w:rFonts w:eastAsia="Calibri" w:asciiTheme="minorHAnsi" w:hAnsiTheme="minorHAnsi" w:cstheme="minorHAnsi"/>
                <w:b/>
                <w:color w:val="000000"/>
                <w:szCs w:val="24"/>
                <w:u w:val="single"/>
              </w:rPr>
              <w:t>de forma a incentivar que este ocorra nos primeiros 36 (trinta e seis meses) meses de vida</w:t>
            </w:r>
            <w:r w:rsidRPr="00384802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,</w:t>
            </w:r>
            <w:r w:rsidRPr="00384802">
              <w:rPr>
                <w:rFonts w:eastAsia="Calibri" w:asciiTheme="minorHAnsi" w:hAnsiTheme="minorHAnsi" w:cstheme="minorHAnsi"/>
                <w:color w:val="000000"/>
                <w:szCs w:val="24"/>
              </w:rPr>
              <w:t xml:space="preserve"> por meio da afixação de cartazes ilustrados nas repartições públicas, incluindo </w:t>
            </w:r>
            <w:r w:rsidRPr="00384802">
              <w:rPr>
                <w:rFonts w:eastAsia="Calibri" w:asciiTheme="minorHAnsi" w:hAnsiTheme="minorHAnsi" w:cstheme="minorHAnsi"/>
                <w:color w:val="000000"/>
                <w:szCs w:val="24"/>
              </w:rPr>
              <w:t>unidades básicas de saúde e escolas da rede pública municipal, bem como por meio de divulgação no site oficial da Prefeitura de Valinhos, além de outras formas de divulgação.</w:t>
            </w:r>
          </w:p>
        </w:tc>
        <w:tc>
          <w:tcPr>
            <w:tcW w:w="4322" w:type="dxa"/>
          </w:tcPr>
          <w:p w:rsidR="00F72453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</w:rPr>
            </w:pPr>
            <w:r w:rsidRPr="00F72453">
              <w:rPr>
                <w:rFonts w:asciiTheme="minorHAnsi" w:hAnsiTheme="minorHAnsi" w:cstheme="minorHAnsi"/>
              </w:rPr>
              <w:t xml:space="preserve">Art. 5º- Altera o Art. 4º, que passa a ter a seguinte redação: </w:t>
            </w:r>
          </w:p>
          <w:p w:rsidR="00964E56" w:rsidRPr="00F72453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84802">
              <w:rPr>
                <w:rFonts w:asciiTheme="minorHAnsi" w:hAnsiTheme="minorHAnsi" w:cstheme="minorHAnsi"/>
                <w:b/>
              </w:rPr>
              <w:t>Art. 4º.</w:t>
            </w:r>
            <w:r w:rsidRPr="00F72453">
              <w:rPr>
                <w:rFonts w:asciiTheme="minorHAnsi" w:hAnsiTheme="minorHAnsi" w:cstheme="minorHAnsi"/>
              </w:rPr>
              <w:t xml:space="preserve"> </w:t>
            </w:r>
            <w:r w:rsidRPr="00384802">
              <w:rPr>
                <w:rFonts w:asciiTheme="minorHAnsi" w:hAnsiTheme="minorHAnsi" w:cstheme="minorHAnsi"/>
                <w:b/>
              </w:rPr>
              <w:t>Como forma de garantir o direito de informações que auxiliem no diagnóstico e no tratamento de pessoa com Transtorno do Espectro Autista (TEA), previsto no item “e”, do inciso III do Artigo 3º da Lei 12.764, de 27 de dezembro de 2012, o</w:t>
            </w:r>
            <w:r w:rsidRPr="00F72453">
              <w:rPr>
                <w:rFonts w:asciiTheme="minorHAnsi" w:hAnsiTheme="minorHAnsi" w:cstheme="minorHAnsi"/>
              </w:rPr>
              <w:t xml:space="preserve"> Poder Público poderá, a seu critério e conveniência, divulgar a necessidade </w:t>
            </w:r>
            <w:r w:rsidRPr="00F72453">
              <w:rPr>
                <w:rFonts w:asciiTheme="minorHAnsi" w:hAnsiTheme="minorHAnsi" w:cstheme="minorHAnsi"/>
              </w:rPr>
              <w:t>de diagnóstico precoce do TEA por meio da afixação de cartazes ilustrados nas repartições públicas, incluindo unidades básicas de saúde e escolas da rede pública municipal, bem como por meio de divulgação no site oficial da Prefeitura de Valinhos, além de outras formas de divulgação.</w:t>
            </w:r>
          </w:p>
        </w:tc>
      </w:tr>
      <w:tr w:rsidTr="00941A33">
        <w:tblPrEx>
          <w:tblW w:w="0" w:type="auto"/>
          <w:tblLook w:val="04A0"/>
        </w:tblPrEx>
        <w:tc>
          <w:tcPr>
            <w:tcW w:w="4322" w:type="dxa"/>
          </w:tcPr>
          <w:p w:rsidR="00964E56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384802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</w:rPr>
            </w:pPr>
            <w:r w:rsidRPr="00384802">
              <w:rPr>
                <w:rFonts w:asciiTheme="minorHAnsi" w:hAnsiTheme="minorHAnsi" w:cstheme="minorHAnsi"/>
                <w:b/>
              </w:rPr>
              <w:t>Art. 5º.</w:t>
            </w:r>
            <w:r w:rsidRPr="00384802">
              <w:rPr>
                <w:rFonts w:asciiTheme="minorHAnsi" w:hAnsiTheme="minorHAnsi" w:cstheme="minorHAnsi"/>
              </w:rPr>
              <w:t xml:space="preserve"> Para fins de diagnóstico precoce do Transtorno do Espectro Autista (TEA), será observado, como diretriz, o Protocolo do Estado de São Paulo de Diagnóstico Tratamento e Encaminhamento de Pacientes com Transtorno do Espectro Autista (TEA), bem como o formulário M-CHAT para fins de avaliação do paciente, conforme prática adotada pela Sociedade Brasileira de Pediatria, nos termos do Anexo I, da presente Lei. </w:t>
            </w:r>
          </w:p>
          <w:p w:rsidR="00384802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</w:rPr>
            </w:pPr>
            <w:r w:rsidRPr="00384802">
              <w:rPr>
                <w:rFonts w:asciiTheme="minorHAnsi" w:hAnsiTheme="minorHAnsi" w:cstheme="minorHAnsi"/>
              </w:rPr>
              <w:t xml:space="preserve">§1º: A referida avaliação será disponibilizada pais ou responsáveis, devidamente acompanhados de um profissional de saúde, no primeiro atendimento de saúde da criança perante a rede de saúde pública ou privada. </w:t>
            </w:r>
          </w:p>
          <w:p w:rsidR="00384802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</w:rPr>
            </w:pPr>
            <w:r w:rsidRPr="00384802">
              <w:rPr>
                <w:rFonts w:asciiTheme="minorHAnsi" w:hAnsiTheme="minorHAnsi" w:cstheme="minorHAnsi"/>
              </w:rPr>
              <w:t xml:space="preserve">§2º. De forma periódica, deverão ser efetuadas novas avaliações até que a criança tenha completado 36 (trinta e seis) meses de idade. </w:t>
            </w:r>
          </w:p>
          <w:p w:rsidR="00384802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</w:rPr>
            </w:pPr>
            <w:r w:rsidRPr="00384802">
              <w:rPr>
                <w:rFonts w:asciiTheme="minorHAnsi" w:hAnsiTheme="minorHAnsi" w:cstheme="minorHAnsi"/>
              </w:rPr>
              <w:t>§3º Caso o resultado obtido no teste demonstre necessidade de nova avaliação, o paciente terá acesso a atendimento especializado.</w:t>
            </w:r>
          </w:p>
          <w:p w:rsidR="00384802" w:rsidRPr="00384802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4322" w:type="dxa"/>
          </w:tcPr>
          <w:p w:rsidR="00964E56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2453">
              <w:rPr>
                <w:rFonts w:asciiTheme="minorHAnsi" w:hAnsiTheme="minorHAnsi" w:cstheme="minorHAnsi"/>
              </w:rPr>
              <w:t xml:space="preserve">Art. 6º- </w:t>
            </w:r>
            <w:r w:rsidRPr="00384802">
              <w:rPr>
                <w:rFonts w:asciiTheme="minorHAnsi" w:hAnsiTheme="minorHAnsi" w:cstheme="minorHAnsi"/>
                <w:b/>
              </w:rPr>
              <w:t>Suprime o Art. 5º</w:t>
            </w:r>
            <w:r w:rsidRPr="00F72453">
              <w:rPr>
                <w:rFonts w:asciiTheme="minorHAnsi" w:hAnsiTheme="minorHAnsi" w:cstheme="minorHAnsi"/>
              </w:rPr>
              <w:t>, ficando remunerados os seguintes.</w:t>
            </w:r>
          </w:p>
        </w:tc>
      </w:tr>
      <w:tr w:rsidTr="00941A33">
        <w:tblPrEx>
          <w:tblW w:w="0" w:type="auto"/>
          <w:tblLook w:val="04A0"/>
        </w:tblPrEx>
        <w:tc>
          <w:tcPr>
            <w:tcW w:w="4322" w:type="dxa"/>
          </w:tcPr>
          <w:p w:rsidR="00964E56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384802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:rsidR="00384802" w:rsidRPr="00F72453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384802">
              <w:rPr>
                <w:rFonts w:eastAsia="Calibri" w:asciiTheme="minorHAnsi" w:hAnsiTheme="minorHAnsi" w:cstheme="minorHAnsi"/>
                <w:b/>
                <w:color w:val="000000"/>
                <w:szCs w:val="24"/>
              </w:rPr>
              <w:t>Art. 6º</w:t>
            </w:r>
            <w:r w:rsidRPr="00384802">
              <w:rPr>
                <w:rFonts w:eastAsia="Calibri" w:asciiTheme="minorHAnsi" w:hAnsiTheme="minorHAnsi" w:cstheme="minorHAnsi"/>
                <w:color w:val="000000"/>
                <w:szCs w:val="24"/>
              </w:rPr>
              <w:t>. O Município poderá, a seu critério e conveniência, estabelecer convênios e termos de parceria com pessoas jurídicas de direito público ou privado, com o propósito de fazer cumprir as determinações desta Lei.</w:t>
            </w:r>
          </w:p>
        </w:tc>
        <w:tc>
          <w:tcPr>
            <w:tcW w:w="4322" w:type="dxa"/>
          </w:tcPr>
          <w:p w:rsidR="00F72453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</w:rPr>
            </w:pPr>
            <w:r w:rsidRPr="00F72453">
              <w:rPr>
                <w:rFonts w:asciiTheme="minorHAnsi" w:hAnsiTheme="minorHAnsi" w:cstheme="minorHAnsi"/>
              </w:rPr>
              <w:t xml:space="preserve">Art. 7º- Altera e renumera o Art. 6º para Art. 5º, com a seguinte redação: </w:t>
            </w:r>
          </w:p>
          <w:p w:rsidR="00964E56" w:rsidRPr="00F72453" w:rsidP="00906F9F">
            <w:pPr>
              <w:pStyle w:val="Default"/>
              <w:spacing w:after="240"/>
              <w:ind w:left="21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84802">
              <w:rPr>
                <w:rFonts w:asciiTheme="minorHAnsi" w:hAnsiTheme="minorHAnsi" w:cstheme="minorHAnsi"/>
                <w:b/>
              </w:rPr>
              <w:t>Art. 5º</w:t>
            </w:r>
            <w:r w:rsidRPr="00F72453">
              <w:rPr>
                <w:rFonts w:asciiTheme="minorHAnsi" w:hAnsiTheme="minorHAnsi" w:cstheme="minorHAnsi"/>
              </w:rPr>
              <w:t xml:space="preserve">. </w:t>
            </w:r>
            <w:r w:rsidRPr="00384802">
              <w:rPr>
                <w:rFonts w:asciiTheme="minorHAnsi" w:hAnsiTheme="minorHAnsi" w:cstheme="minorHAnsi"/>
                <w:b/>
              </w:rPr>
              <w:t>Nos termos da Lei 12.764, de 27 de dezembro de 2012,</w:t>
            </w:r>
            <w:r w:rsidRPr="00F72453">
              <w:rPr>
                <w:rFonts w:asciiTheme="minorHAnsi" w:hAnsiTheme="minorHAnsi" w:cstheme="minorHAnsi"/>
              </w:rPr>
              <w:t xml:space="preserve"> o Município poderá estabelecer, a seu critério, convênios e termos de parceria com pessoas jurídicas de direito público ou privado, com o propósito de fazer cumprir uma ou mais das determinações desta Lei.</w:t>
            </w:r>
          </w:p>
        </w:tc>
      </w:tr>
      <w:tr w:rsidTr="00941A33">
        <w:tblPrEx>
          <w:tblW w:w="0" w:type="auto"/>
          <w:tblLook w:val="04A0"/>
        </w:tblPrEx>
        <w:tc>
          <w:tcPr>
            <w:tcW w:w="4322" w:type="dxa"/>
          </w:tcPr>
          <w:p w:rsidR="00384802" w:rsidRPr="00384802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</w:rPr>
            </w:pPr>
            <w:r w:rsidRPr="00384802">
              <w:rPr>
                <w:rFonts w:asciiTheme="minorHAnsi" w:hAnsiTheme="minorHAnsi" w:cstheme="minorHAnsi"/>
                <w:b/>
              </w:rPr>
              <w:t>Art. 7º.</w:t>
            </w:r>
            <w:r w:rsidRPr="00384802">
              <w:rPr>
                <w:rFonts w:asciiTheme="minorHAnsi" w:hAnsiTheme="minorHAnsi" w:cstheme="minorHAnsi"/>
              </w:rPr>
              <w:t xml:space="preserve"> As despesas com a execução da presente Lei correrão por conta de verba orçamentária própria. </w:t>
            </w:r>
          </w:p>
          <w:p w:rsidR="00964E56" w:rsidRPr="00F72453" w:rsidP="00941A33">
            <w:pPr>
              <w:pStyle w:val="BodyText"/>
              <w:ind w:left="306" w:right="119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384802">
              <w:rPr>
                <w:rFonts w:asciiTheme="minorHAnsi" w:hAnsiTheme="minorHAnsi" w:cstheme="minorHAnsi"/>
                <w:b/>
              </w:rPr>
              <w:t>Art. 8º.</w:t>
            </w:r>
            <w:r w:rsidRPr="00384802">
              <w:rPr>
                <w:rFonts w:asciiTheme="minorHAnsi" w:hAnsiTheme="minorHAnsi" w:cstheme="minorHAnsi"/>
              </w:rPr>
              <w:t xml:space="preserve"> Esta Lei entra em vigor na data de sua publicação.</w:t>
            </w:r>
          </w:p>
        </w:tc>
        <w:tc>
          <w:tcPr>
            <w:tcW w:w="4322" w:type="dxa"/>
          </w:tcPr>
          <w:p w:rsidR="00964E56" w:rsidRPr="00F72453" w:rsidP="00941A33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2453">
              <w:rPr>
                <w:rFonts w:asciiTheme="minorHAnsi" w:hAnsiTheme="minorHAnsi" w:cstheme="minorHAnsi"/>
              </w:rPr>
              <w:t xml:space="preserve">Art. 8º- </w:t>
            </w:r>
            <w:r w:rsidRPr="00384802">
              <w:rPr>
                <w:rFonts w:asciiTheme="minorHAnsi" w:hAnsiTheme="minorHAnsi" w:cstheme="minorHAnsi"/>
                <w:b/>
              </w:rPr>
              <w:t>Renumera o Art. 7º, que passa a ser Art. 6º, e o Art. 8º, que passa a ser Art. 7º, ficando mantidas as redações de ambos os artigos.</w:t>
            </w:r>
          </w:p>
        </w:tc>
      </w:tr>
    </w:tbl>
    <w:p w:rsidR="00C21147" w:rsidRPr="00C21147" w:rsidP="00E52D1C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E52D1C" w:rsidRPr="0006682F" w:rsidP="00E52D1C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E52D1C" w:rsidRPr="0006682F" w:rsidP="00E166BC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E166BC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E52D1C" w:rsidRPr="0006682F" w:rsidP="00E52D1C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E52D1C" w:rsidRPr="00AD09BD" w:rsidP="00E52D1C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E52D1C" w:rsidRPr="00724E61" w:rsidP="00E52D1C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E52D1C" w:rsidRPr="00FC62DB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E52D1C" w:rsidRPr="00DD45D3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E52D1C" w:rsidRPr="002C49A8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2C49A8">
        <w:rPr>
          <w:rFonts w:asciiTheme="minorHAnsi" w:hAnsiTheme="minorHAnsi" w:cs="Calibri"/>
          <w:b/>
          <w:i/>
          <w:color w:val="000000"/>
          <w:sz w:val="22"/>
          <w:szCs w:val="22"/>
        </w:rPr>
        <w:t>§ 2º. E</w:t>
      </w:r>
      <w:bookmarkStart w:id="0" w:name="_GoBack"/>
      <w:bookmarkEnd w:id="0"/>
      <w:r w:rsidRPr="002C49A8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menda substitutiva é a que deve ser colocada no lugar do artigo. </w:t>
      </w:r>
    </w:p>
    <w:p w:rsidR="00E52D1C" w:rsidRPr="002C49A8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2C49A8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E52D1C" w:rsidRPr="002C49A8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2C49A8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E52D1C" w:rsidRPr="00FC62DB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E52D1C" w:rsidRPr="00FC62DB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E52D1C" w:rsidRPr="00FC62DB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E52D1C" w:rsidRPr="00FC62DB" w:rsidP="00C21147">
      <w:pPr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E52D1C" w:rsidRPr="00FC62DB" w:rsidP="00C21147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E52D1C" w:rsidP="00E52D1C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Pr="00FC62DB">
        <w:rPr>
          <w:rFonts w:asciiTheme="minorHAnsi" w:hAnsiTheme="minorHAnsi" w:cs="Calibri"/>
          <w:szCs w:val="24"/>
        </w:rPr>
        <w:t xml:space="preserve">Destarte, </w:t>
      </w:r>
      <w:r>
        <w:rPr>
          <w:rFonts w:asciiTheme="minorHAnsi" w:hAnsiTheme="minorHAnsi" w:cs="Calibri"/>
          <w:szCs w:val="24"/>
        </w:rPr>
        <w:t xml:space="preserve">verifica-se </w:t>
      </w:r>
      <w:r w:rsidRPr="00FC62DB">
        <w:rPr>
          <w:rFonts w:asciiTheme="minorHAnsi" w:hAnsiTheme="minorHAnsi" w:cs="Calibri"/>
          <w:szCs w:val="24"/>
        </w:rPr>
        <w:t>que o projeto de emenda atende aos dispositivos do</w:t>
      </w:r>
      <w:r>
        <w:rPr>
          <w:rFonts w:asciiTheme="minorHAnsi" w:hAnsiTheme="minorHAnsi" w:cs="Calibri"/>
          <w:szCs w:val="24"/>
        </w:rPr>
        <w:t xml:space="preserve"> Regimento Interno da Câmara, não havendo </w:t>
      </w:r>
      <w:r w:rsidRPr="00FC62DB">
        <w:rPr>
          <w:rFonts w:asciiTheme="minorHAnsi" w:hAnsiTheme="minorHAnsi" w:cs="Calibri"/>
          <w:szCs w:val="24"/>
        </w:rPr>
        <w:t xml:space="preserve">óbice </w:t>
      </w:r>
      <w:r>
        <w:rPr>
          <w:rFonts w:asciiTheme="minorHAnsi" w:hAnsiTheme="minorHAnsi" w:cs="Calibri"/>
          <w:szCs w:val="24"/>
        </w:rPr>
        <w:t xml:space="preserve">regimental na sua </w:t>
      </w:r>
      <w:r>
        <w:rPr>
          <w:rFonts w:asciiTheme="minorHAnsi" w:hAnsiTheme="minorHAnsi" w:cs="Calibri"/>
          <w:szCs w:val="24"/>
        </w:rPr>
        <w:t xml:space="preserve">tramitação e quanto à matéria </w:t>
      </w:r>
      <w:r w:rsidR="00794DAF">
        <w:rPr>
          <w:rFonts w:asciiTheme="minorHAnsi" w:hAnsiTheme="minorHAnsi" w:cs="Calibri"/>
          <w:szCs w:val="24"/>
        </w:rPr>
        <w:t xml:space="preserve">observamos </w:t>
      </w:r>
      <w:r w:rsidR="00372A4B">
        <w:rPr>
          <w:rFonts w:asciiTheme="minorHAnsi" w:hAnsiTheme="minorHAnsi" w:cs="Calibri"/>
          <w:szCs w:val="24"/>
        </w:rPr>
        <w:t xml:space="preserve">que </w:t>
      </w:r>
      <w:r w:rsidR="00794DAF">
        <w:rPr>
          <w:rFonts w:asciiTheme="minorHAnsi" w:hAnsiTheme="minorHAnsi" w:cs="Calibri"/>
          <w:szCs w:val="24"/>
        </w:rPr>
        <w:t>o projeto propõe algumas</w:t>
      </w:r>
      <w:r w:rsidR="00372A4B">
        <w:rPr>
          <w:rFonts w:asciiTheme="minorHAnsi" w:hAnsiTheme="minorHAnsi" w:cs="Calibri"/>
          <w:szCs w:val="24"/>
        </w:rPr>
        <w:t xml:space="preserve"> alterações</w:t>
      </w:r>
      <w:r>
        <w:rPr>
          <w:rFonts w:asciiTheme="minorHAnsi" w:hAnsiTheme="minorHAnsi" w:cs="Calibri"/>
          <w:szCs w:val="24"/>
        </w:rPr>
        <w:t xml:space="preserve"> reco</w:t>
      </w:r>
      <w:r w:rsidR="00E166BC">
        <w:rPr>
          <w:rFonts w:asciiTheme="minorHAnsi" w:hAnsiTheme="minorHAnsi" w:cs="Calibri"/>
          <w:szCs w:val="24"/>
        </w:rPr>
        <w:t>m</w:t>
      </w:r>
      <w:r w:rsidR="00971C16">
        <w:rPr>
          <w:rFonts w:asciiTheme="minorHAnsi" w:hAnsiTheme="minorHAnsi" w:cs="Calibri"/>
          <w:szCs w:val="24"/>
        </w:rPr>
        <w:t>endada</w:t>
      </w:r>
      <w:r w:rsidR="00372A4B">
        <w:rPr>
          <w:rFonts w:asciiTheme="minorHAnsi" w:hAnsiTheme="minorHAnsi" w:cs="Calibri"/>
          <w:szCs w:val="24"/>
        </w:rPr>
        <w:t>s</w:t>
      </w:r>
      <w:r w:rsidR="00971C16">
        <w:rPr>
          <w:rFonts w:asciiTheme="minorHAnsi" w:hAnsiTheme="minorHAnsi" w:cs="Calibri"/>
          <w:szCs w:val="24"/>
        </w:rPr>
        <w:t xml:space="preserve"> no Parecer Jurídico nº 3</w:t>
      </w:r>
      <w:r w:rsidR="001F4F2D">
        <w:rPr>
          <w:rFonts w:asciiTheme="minorHAnsi" w:hAnsiTheme="minorHAnsi" w:cs="Calibri"/>
          <w:szCs w:val="24"/>
        </w:rPr>
        <w:t>57</w:t>
      </w:r>
      <w:r>
        <w:rPr>
          <w:rFonts w:asciiTheme="minorHAnsi" w:hAnsiTheme="minorHAnsi" w:cs="Calibri"/>
          <w:szCs w:val="24"/>
        </w:rPr>
        <w:t>/2022</w:t>
      </w:r>
      <w:r w:rsidR="00794DAF">
        <w:rPr>
          <w:rFonts w:asciiTheme="minorHAnsi" w:hAnsiTheme="minorHAnsi" w:cs="Calibri"/>
          <w:szCs w:val="24"/>
        </w:rPr>
        <w:t>, que ora reit</w:t>
      </w:r>
      <w:r w:rsidR="0021427A">
        <w:rPr>
          <w:rFonts w:asciiTheme="minorHAnsi" w:hAnsiTheme="minorHAnsi" w:cs="Calibri"/>
          <w:szCs w:val="24"/>
        </w:rPr>
        <w:t>e</w:t>
      </w:r>
      <w:r w:rsidR="00794DAF">
        <w:rPr>
          <w:rFonts w:asciiTheme="minorHAnsi" w:hAnsiTheme="minorHAnsi" w:cs="Calibri"/>
          <w:szCs w:val="24"/>
        </w:rPr>
        <w:t>ramos</w:t>
      </w:r>
      <w:r>
        <w:rPr>
          <w:rFonts w:asciiTheme="minorHAnsi" w:hAnsiTheme="minorHAnsi" w:cs="Calibri"/>
          <w:szCs w:val="24"/>
        </w:rPr>
        <w:t xml:space="preserve">. </w:t>
      </w:r>
      <w:r w:rsidRPr="00076B1A">
        <w:rPr>
          <w:rFonts w:asciiTheme="minorHAnsi" w:hAnsiTheme="minorHAnsi" w:cs="Calibri"/>
          <w:szCs w:val="24"/>
        </w:rPr>
        <w:t>S</w:t>
      </w:r>
      <w:r w:rsidRPr="00076B1A">
        <w:rPr>
          <w:rFonts w:ascii="Calibri" w:hAnsi="Calibri" w:cstheme="minorHAnsi"/>
          <w:szCs w:val="24"/>
        </w:rPr>
        <w:t>obre o mérito, manifestar-se-á o Soberano Plenário.</w:t>
      </w:r>
    </w:p>
    <w:p w:rsidR="00E52D1C" w:rsidP="00E52D1C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E52D1C" w:rsidRPr="002D211E" w:rsidP="00E52D1C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2D211E">
        <w:rPr>
          <w:rFonts w:ascii="Calibri" w:hAnsi="Calibri" w:cs="Calibri"/>
          <w:szCs w:val="24"/>
        </w:rPr>
        <w:t>Procuradoria</w:t>
      </w:r>
      <w:r w:rsidRPr="002D211E" w:rsidR="008C111E">
        <w:rPr>
          <w:rFonts w:ascii="Calibri" w:hAnsi="Calibri" w:cs="Calibri"/>
          <w:szCs w:val="24"/>
        </w:rPr>
        <w:t xml:space="preserve">, </w:t>
      </w:r>
      <w:r w:rsidR="001F4F2D">
        <w:rPr>
          <w:rFonts w:ascii="Calibri" w:hAnsi="Calibri" w:cs="Calibri"/>
          <w:szCs w:val="24"/>
        </w:rPr>
        <w:t>16</w:t>
      </w:r>
      <w:r w:rsidRPr="002D211E">
        <w:rPr>
          <w:rFonts w:ascii="Calibri" w:hAnsi="Calibri" w:cs="Calibri"/>
          <w:szCs w:val="24"/>
        </w:rPr>
        <w:t xml:space="preserve"> de </w:t>
      </w:r>
      <w:r w:rsidR="00071A09">
        <w:rPr>
          <w:rFonts w:ascii="Calibri" w:hAnsi="Calibri" w:cs="Calibri"/>
          <w:szCs w:val="24"/>
        </w:rPr>
        <w:t>dez</w:t>
      </w:r>
      <w:r w:rsidRPr="002D211E" w:rsidR="00E166BC">
        <w:rPr>
          <w:rFonts w:ascii="Calibri" w:hAnsi="Calibri" w:cs="Calibri"/>
          <w:szCs w:val="24"/>
        </w:rPr>
        <w:t>embro</w:t>
      </w:r>
      <w:r w:rsidRPr="002D211E">
        <w:rPr>
          <w:rFonts w:ascii="Calibri" w:hAnsi="Calibri" w:cs="Calibri"/>
          <w:szCs w:val="24"/>
        </w:rPr>
        <w:t xml:space="preserve"> de 2022.</w:t>
      </w:r>
    </w:p>
    <w:p w:rsidR="00E52D1C" w:rsidRPr="003A7521" w:rsidP="00E52D1C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E52D1C" w:rsidRPr="003A7521" w:rsidP="00E52D1C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E52D1C" w:rsidP="00E52D1C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E52D1C" w:rsidRPr="00743FE1" w:rsidP="00E52D1C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7B5707"/>
    <w:sectPr w:rsidSect="00F72453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906F9F" w:rsidP="00F72453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906F9F" w:rsidP="00F72453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906F9F" w:rsidP="00F72453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906F9F" w:rsidP="00F72453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906F9F" w:rsidP="00F72453">
            <w:pPr>
              <w:pStyle w:val="Footer"/>
              <w:ind w:left="-1985" w:right="-313"/>
              <w:jc w:val="center"/>
            </w:pPr>
          </w:p>
          <w:p w:rsidR="00906F9F" w:rsidP="00F7245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C49A8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C49A8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6F9F" w:rsidP="00F72453">
    <w:pPr>
      <w:pStyle w:val="Header"/>
      <w:jc w:val="center"/>
      <w:rPr>
        <w:b/>
        <w:sz w:val="26"/>
        <w:lang w:val="pt-PT"/>
      </w:rPr>
    </w:pPr>
  </w:p>
  <w:p w:rsidR="00906F9F" w:rsidP="00F72453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F9F" w:rsidP="00F724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8509263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710470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268679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724D1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043547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2422943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06F9F" w:rsidP="00F7245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06F9F" w:rsidP="00F72453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1C"/>
    <w:rsid w:val="0006682F"/>
    <w:rsid w:val="00071A09"/>
    <w:rsid w:val="000724D1"/>
    <w:rsid w:val="00076B1A"/>
    <w:rsid w:val="00081211"/>
    <w:rsid w:val="00084441"/>
    <w:rsid w:val="000F6284"/>
    <w:rsid w:val="001B125C"/>
    <w:rsid w:val="001E0F14"/>
    <w:rsid w:val="001F4F2D"/>
    <w:rsid w:val="0021427A"/>
    <w:rsid w:val="00242B49"/>
    <w:rsid w:val="002C49A8"/>
    <w:rsid w:val="002D211E"/>
    <w:rsid w:val="002D6299"/>
    <w:rsid w:val="003563DB"/>
    <w:rsid w:val="00372A4B"/>
    <w:rsid w:val="00384802"/>
    <w:rsid w:val="003A7521"/>
    <w:rsid w:val="004A1A82"/>
    <w:rsid w:val="004C45D1"/>
    <w:rsid w:val="006A0D4C"/>
    <w:rsid w:val="0072174A"/>
    <w:rsid w:val="00724E61"/>
    <w:rsid w:val="00743FE1"/>
    <w:rsid w:val="00794DAF"/>
    <w:rsid w:val="007B5707"/>
    <w:rsid w:val="00815962"/>
    <w:rsid w:val="008C111E"/>
    <w:rsid w:val="00906F9F"/>
    <w:rsid w:val="00941A33"/>
    <w:rsid w:val="00943C14"/>
    <w:rsid w:val="00964E56"/>
    <w:rsid w:val="00971C16"/>
    <w:rsid w:val="009B580E"/>
    <w:rsid w:val="00AD09BD"/>
    <w:rsid w:val="00AF1BF8"/>
    <w:rsid w:val="00B171DF"/>
    <w:rsid w:val="00C21147"/>
    <w:rsid w:val="00D42034"/>
    <w:rsid w:val="00DA5745"/>
    <w:rsid w:val="00DD45D3"/>
    <w:rsid w:val="00E166BC"/>
    <w:rsid w:val="00E241DB"/>
    <w:rsid w:val="00E52D1C"/>
    <w:rsid w:val="00E66B95"/>
    <w:rsid w:val="00F53BEF"/>
    <w:rsid w:val="00F72453"/>
    <w:rsid w:val="00F81E4E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1C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E52D1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52D1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52D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E52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E52D1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E52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E52D1C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5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52D1C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94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1614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15</cp:revision>
  <dcterms:created xsi:type="dcterms:W3CDTF">2022-12-16T11:08:00Z</dcterms:created>
  <dcterms:modified xsi:type="dcterms:W3CDTF">2022-12-16T12:07:00Z</dcterms:modified>
</cp:coreProperties>
</file>