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367" w:rsidRPr="00B34367" w:rsidRDefault="00B34367" w:rsidP="00B3436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bookmarkStart w:id="0" w:name="_GoBack"/>
      <w:bookmarkEnd w:id="0"/>
      <w:r w:rsidRPr="00B34367">
        <w:rPr>
          <w:rFonts w:cs="Arial"/>
          <w:b/>
          <w:bCs/>
          <w:color w:val="000000"/>
          <w:szCs w:val="24"/>
        </w:rPr>
        <w:tab/>
      </w:r>
      <w:r w:rsidRPr="00B34367">
        <w:rPr>
          <w:rFonts w:cs="Arial"/>
          <w:b/>
          <w:bCs/>
          <w:color w:val="000000"/>
          <w:szCs w:val="24"/>
        </w:rPr>
        <w:tab/>
      </w:r>
      <w:r w:rsidRPr="00B34367">
        <w:rPr>
          <w:rFonts w:cs="Arial"/>
          <w:b/>
          <w:bCs/>
          <w:color w:val="000000"/>
          <w:szCs w:val="24"/>
          <w:u w:val="single"/>
        </w:rPr>
        <w:t>AUTÓGRAFO Nº 174/2022</w:t>
      </w:r>
    </w:p>
    <w:p w:rsidR="00B34367" w:rsidRPr="00B34367" w:rsidRDefault="00B34367" w:rsidP="00B3436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B34367">
        <w:rPr>
          <w:rFonts w:cs="Arial"/>
          <w:b/>
          <w:bCs/>
          <w:color w:val="000000"/>
          <w:szCs w:val="24"/>
        </w:rPr>
        <w:tab/>
      </w:r>
      <w:r w:rsidRPr="00B34367">
        <w:rPr>
          <w:rFonts w:cs="Arial"/>
          <w:b/>
          <w:bCs/>
          <w:color w:val="000000"/>
          <w:szCs w:val="24"/>
        </w:rPr>
        <w:tab/>
      </w:r>
      <w:r w:rsidRPr="00B34367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213</w:t>
      </w:r>
      <w:r w:rsidRPr="00B34367">
        <w:rPr>
          <w:rFonts w:cs="Arial"/>
          <w:b/>
          <w:bCs/>
          <w:color w:val="000000"/>
          <w:szCs w:val="24"/>
          <w:u w:val="single"/>
        </w:rPr>
        <w:t>/2022</w:t>
      </w:r>
    </w:p>
    <w:p w:rsidR="00B34367" w:rsidRPr="00B34367" w:rsidRDefault="00B34367" w:rsidP="00B3436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B34367" w:rsidRDefault="00B34367" w:rsidP="00B3436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B34367">
        <w:rPr>
          <w:rFonts w:cs="Arial"/>
          <w:b/>
          <w:bCs/>
          <w:color w:val="000000"/>
          <w:szCs w:val="24"/>
        </w:rPr>
        <w:tab/>
      </w:r>
      <w:r w:rsidRPr="00B34367">
        <w:rPr>
          <w:rFonts w:cs="Arial"/>
          <w:b/>
          <w:bCs/>
          <w:color w:val="000000"/>
          <w:szCs w:val="24"/>
        </w:rPr>
        <w:tab/>
      </w:r>
      <w:r w:rsidR="00787A5F" w:rsidRPr="00B34367">
        <w:rPr>
          <w:rFonts w:cs="Arial"/>
          <w:b/>
          <w:bCs/>
          <w:color w:val="000000"/>
          <w:szCs w:val="24"/>
        </w:rPr>
        <w:t>Dispõe sobre o rateio de honorários sucumbenciais aos Procuradores da Câmara Municipal de Valinhos e dá outras providências.</w:t>
      </w:r>
    </w:p>
    <w:p w:rsidR="00B34367" w:rsidRDefault="00B34367" w:rsidP="00B3436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B34367" w:rsidRDefault="00B34367" w:rsidP="00B3436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B34367" w:rsidRDefault="00B34367" w:rsidP="00B3436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B34367" w:rsidRPr="00B34367" w:rsidRDefault="00B34367" w:rsidP="00B3436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B34367" w:rsidRPr="00B34367" w:rsidRDefault="00B34367" w:rsidP="00B3436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B34367">
        <w:rPr>
          <w:rFonts w:cs="Arial"/>
          <w:b/>
          <w:bCs/>
          <w:color w:val="000000"/>
          <w:szCs w:val="24"/>
        </w:rPr>
        <w:tab/>
      </w:r>
      <w:r w:rsidRPr="00B34367">
        <w:rPr>
          <w:rFonts w:cs="Arial"/>
          <w:b/>
          <w:bCs/>
          <w:color w:val="000000"/>
          <w:szCs w:val="24"/>
        </w:rPr>
        <w:tab/>
        <w:t>A CÂMARA MUNICIPAL DE VALINHOS</w:t>
      </w:r>
      <w:r w:rsidRPr="00B34367">
        <w:rPr>
          <w:rFonts w:cs="Arial"/>
          <w:bCs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B34367">
        <w:rPr>
          <w:rFonts w:cs="Arial"/>
          <w:b/>
          <w:bCs/>
          <w:color w:val="000000"/>
          <w:szCs w:val="24"/>
        </w:rPr>
        <w:t xml:space="preserve">APROVOU </w:t>
      </w:r>
      <w:r w:rsidRPr="00B34367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50542C" w:rsidRPr="00B34367" w:rsidRDefault="0050542C" w:rsidP="00B3436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Arial" w:cs="Arial"/>
          <w:color w:val="000000"/>
          <w:szCs w:val="24"/>
        </w:rPr>
      </w:pPr>
    </w:p>
    <w:p w:rsidR="00B34367" w:rsidRPr="00B34367" w:rsidRDefault="00B34367" w:rsidP="00B3436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eastAsia="Arial" w:cs="Arial"/>
          <w:color w:val="000000"/>
          <w:szCs w:val="24"/>
        </w:rPr>
      </w:pPr>
      <w:r w:rsidRPr="00B34367">
        <w:rPr>
          <w:rFonts w:eastAsia="Arial" w:cs="Arial"/>
          <w:b/>
          <w:color w:val="000000"/>
          <w:szCs w:val="24"/>
        </w:rPr>
        <w:tab/>
      </w:r>
      <w:r w:rsidRPr="00B34367">
        <w:rPr>
          <w:rFonts w:eastAsia="Arial" w:cs="Arial"/>
          <w:b/>
          <w:color w:val="000000"/>
          <w:szCs w:val="24"/>
        </w:rPr>
        <w:tab/>
      </w:r>
      <w:r w:rsidR="00787A5F" w:rsidRPr="00B34367">
        <w:rPr>
          <w:rFonts w:eastAsia="Arial" w:cs="Arial"/>
          <w:b/>
          <w:color w:val="000000"/>
          <w:szCs w:val="24"/>
        </w:rPr>
        <w:t>Art. 1</w:t>
      </w:r>
      <w:r w:rsidR="00787A5F" w:rsidRPr="00B34367">
        <w:rPr>
          <w:rFonts w:eastAsia="Arial" w:cs="Arial"/>
          <w:b/>
          <w:color w:val="000000"/>
          <w:szCs w:val="24"/>
          <w:vertAlign w:val="superscript"/>
        </w:rPr>
        <w:t>o</w:t>
      </w:r>
      <w:r w:rsidR="00787A5F" w:rsidRPr="00B34367">
        <w:rPr>
          <w:rFonts w:eastAsia="Arial" w:cs="Arial"/>
          <w:color w:val="000000"/>
          <w:szCs w:val="24"/>
        </w:rPr>
        <w:t xml:space="preserve"> Os valores fixados e percebidos a título de honorários advocatícios por arbitramento, acordo ou sucumbência, nas ações judiciais ou administrativas de qualquer natureza em que for parte a Câmara Municipal de Valinhos serão devidos e destinados aos Procura</w:t>
      </w:r>
      <w:r w:rsidR="00787A5F" w:rsidRPr="00B34367">
        <w:rPr>
          <w:rFonts w:eastAsia="Arial" w:cs="Arial"/>
          <w:color w:val="000000"/>
          <w:szCs w:val="24"/>
        </w:rPr>
        <w:t>dores ocupantes de cargo de provimento efetivo, na forma estabelecida nos artigos 3º, §1º, 22, 23 e 24, § 3º, da Lei Federal nº 8.906/94 e no artigo 85, § 19, da Lei nº 13.105, de 16 de março de 2015.</w:t>
      </w:r>
    </w:p>
    <w:p w:rsidR="0081492F" w:rsidRPr="00B34367" w:rsidRDefault="00B34367" w:rsidP="00B3436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eastAsia="Arial" w:cs="Arial"/>
          <w:color w:val="000000"/>
          <w:szCs w:val="24"/>
        </w:rPr>
      </w:pPr>
      <w:r w:rsidRPr="00B34367">
        <w:rPr>
          <w:rFonts w:eastAsia="Arial" w:cs="Arial"/>
          <w:color w:val="000000"/>
          <w:szCs w:val="24"/>
        </w:rPr>
        <w:tab/>
      </w:r>
      <w:r w:rsidRPr="00B34367">
        <w:rPr>
          <w:rFonts w:eastAsia="Arial" w:cs="Arial"/>
          <w:color w:val="000000"/>
          <w:szCs w:val="24"/>
        </w:rPr>
        <w:tab/>
        <w:t xml:space="preserve">Parágrafo </w:t>
      </w:r>
      <w:r w:rsidR="00787A5F" w:rsidRPr="00B34367">
        <w:rPr>
          <w:rFonts w:eastAsia="Arial" w:cs="Arial"/>
          <w:color w:val="000000"/>
          <w:szCs w:val="24"/>
        </w:rPr>
        <w:t xml:space="preserve">único. A verba honorária prevista no </w:t>
      </w:r>
      <w:r w:rsidR="00787A5F" w:rsidRPr="00B34367">
        <w:rPr>
          <w:rFonts w:eastAsia="Arial" w:cs="Arial"/>
          <w:i/>
          <w:color w:val="000000"/>
          <w:szCs w:val="24"/>
        </w:rPr>
        <w:t xml:space="preserve">caput </w:t>
      </w:r>
      <w:r w:rsidR="00787A5F" w:rsidRPr="00B34367">
        <w:rPr>
          <w:rFonts w:eastAsia="Arial" w:cs="Arial"/>
          <w:color w:val="000000"/>
          <w:szCs w:val="24"/>
        </w:rPr>
        <w:t>nã</w:t>
      </w:r>
      <w:r w:rsidR="00787A5F" w:rsidRPr="00B34367">
        <w:rPr>
          <w:rFonts w:eastAsia="Arial" w:cs="Arial"/>
          <w:color w:val="000000"/>
          <w:szCs w:val="24"/>
        </w:rPr>
        <w:t xml:space="preserve">o constitui encargo da </w:t>
      </w:r>
      <w:r w:rsidR="00787A5F" w:rsidRPr="00B34367">
        <w:rPr>
          <w:rFonts w:eastAsia="Arial" w:cs="Arial"/>
          <w:color w:val="000000"/>
          <w:szCs w:val="24"/>
        </w:rPr>
        <w:t>Câmara Municipal e nem receita da Municipalidade</w:t>
      </w:r>
      <w:r w:rsidR="00787A5F" w:rsidRPr="00B34367">
        <w:rPr>
          <w:rFonts w:eastAsia="Arial" w:cs="Arial"/>
          <w:color w:val="000000"/>
          <w:szCs w:val="24"/>
        </w:rPr>
        <w:t>, sendo paga exclusivamente pela parte sucumbente ou devedora.</w:t>
      </w:r>
    </w:p>
    <w:p w:rsidR="00B34367" w:rsidRPr="00B34367" w:rsidRDefault="00B34367" w:rsidP="00B3436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Arial" w:cs="Arial"/>
          <w:color w:val="000000"/>
          <w:szCs w:val="24"/>
        </w:rPr>
      </w:pPr>
    </w:p>
    <w:p w:rsidR="00B34367" w:rsidRPr="00B34367" w:rsidRDefault="00B34367" w:rsidP="00B3436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eastAsia="Arial" w:cs="Arial"/>
          <w:color w:val="000000"/>
          <w:szCs w:val="24"/>
        </w:rPr>
      </w:pPr>
      <w:r w:rsidRPr="00B34367">
        <w:rPr>
          <w:rFonts w:eastAsia="Arial" w:cs="Arial"/>
          <w:b/>
          <w:color w:val="000000"/>
          <w:szCs w:val="24"/>
        </w:rPr>
        <w:tab/>
      </w:r>
      <w:r w:rsidRPr="00B34367">
        <w:rPr>
          <w:rFonts w:eastAsia="Arial" w:cs="Arial"/>
          <w:b/>
          <w:color w:val="000000"/>
          <w:szCs w:val="24"/>
        </w:rPr>
        <w:tab/>
      </w:r>
      <w:r w:rsidR="00787A5F" w:rsidRPr="00B34367">
        <w:rPr>
          <w:rFonts w:eastAsia="Arial" w:cs="Arial"/>
          <w:b/>
          <w:color w:val="000000"/>
          <w:szCs w:val="24"/>
        </w:rPr>
        <w:t>Art. 2º</w:t>
      </w:r>
      <w:r w:rsidR="00787A5F" w:rsidRPr="00B34367">
        <w:rPr>
          <w:rFonts w:eastAsia="Arial" w:cs="Arial"/>
          <w:color w:val="000000"/>
          <w:szCs w:val="24"/>
        </w:rPr>
        <w:t xml:space="preserve"> Os honorários serão partilhados de forma igualitária entre os ocupantes de cargo de provimento efetivo de Procura</w:t>
      </w:r>
      <w:r w:rsidR="00787A5F" w:rsidRPr="00B34367">
        <w:rPr>
          <w:rFonts w:eastAsia="Arial" w:cs="Arial"/>
          <w:color w:val="000000"/>
          <w:szCs w:val="24"/>
        </w:rPr>
        <w:t xml:space="preserve">dor que estejam e/ou estivessem em exercício no período entre o ajuizamento do processo até </w:t>
      </w:r>
      <w:r w:rsidR="00787A5F" w:rsidRPr="00B34367">
        <w:rPr>
          <w:rFonts w:eastAsia="Arial" w:cs="Arial"/>
          <w:color w:val="000000"/>
          <w:szCs w:val="24"/>
        </w:rPr>
        <w:t xml:space="preserve">a prolação </w:t>
      </w:r>
      <w:r w:rsidR="00787A5F" w:rsidRPr="00B34367">
        <w:rPr>
          <w:rFonts w:eastAsia="Arial" w:cs="Arial"/>
          <w:color w:val="000000"/>
          <w:szCs w:val="24"/>
        </w:rPr>
        <w:t>da decisão, da sentença ou do acórdão que os ensejaram.</w:t>
      </w:r>
    </w:p>
    <w:p w:rsidR="00B34367" w:rsidRPr="00B34367" w:rsidRDefault="00B34367" w:rsidP="00B3436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eastAsia="Arial" w:cs="Arial"/>
          <w:color w:val="000000"/>
          <w:szCs w:val="24"/>
          <w:highlight w:val="white"/>
        </w:rPr>
      </w:pPr>
      <w:r w:rsidRPr="00B34367">
        <w:rPr>
          <w:rFonts w:eastAsia="Arial" w:cs="Arial"/>
          <w:color w:val="000000"/>
          <w:szCs w:val="24"/>
        </w:rPr>
        <w:tab/>
      </w:r>
      <w:r w:rsidRPr="00B34367">
        <w:rPr>
          <w:rFonts w:eastAsia="Arial" w:cs="Arial"/>
          <w:color w:val="000000"/>
          <w:szCs w:val="24"/>
        </w:rPr>
        <w:tab/>
      </w:r>
      <w:r w:rsidR="00787A5F" w:rsidRPr="00B34367">
        <w:rPr>
          <w:rFonts w:eastAsia="Arial" w:cs="Arial"/>
          <w:color w:val="000000"/>
          <w:szCs w:val="24"/>
        </w:rPr>
        <w:t>§1º</w:t>
      </w:r>
      <w:r w:rsidR="00787A5F" w:rsidRPr="00B34367">
        <w:rPr>
          <w:rFonts w:eastAsia="Arial" w:cs="Arial"/>
          <w:color w:val="000000"/>
          <w:szCs w:val="24"/>
        </w:rPr>
        <w:t xml:space="preserve"> Participarão do rateio os Procuradores efetivos referidos no </w:t>
      </w:r>
      <w:r w:rsidR="00787A5F" w:rsidRPr="00B34367">
        <w:rPr>
          <w:rFonts w:eastAsia="Arial" w:cs="Arial"/>
          <w:i/>
          <w:color w:val="000000"/>
          <w:szCs w:val="24"/>
        </w:rPr>
        <w:t xml:space="preserve">caput </w:t>
      </w:r>
      <w:r w:rsidR="00787A5F" w:rsidRPr="00B34367">
        <w:rPr>
          <w:rFonts w:eastAsia="Arial" w:cs="Arial"/>
          <w:color w:val="000000"/>
          <w:szCs w:val="24"/>
        </w:rPr>
        <w:t xml:space="preserve">que estejam no exercício </w:t>
      </w:r>
      <w:r w:rsidR="00787A5F" w:rsidRPr="00B34367">
        <w:rPr>
          <w:rFonts w:eastAsia="Arial" w:cs="Arial"/>
          <w:color w:val="000000"/>
          <w:szCs w:val="24"/>
        </w:rPr>
        <w:t>de cargo de provimento em comissão ou função de confiança, desde que lotados na Procuradoria Legislativa da Câmara Municipal.</w:t>
      </w:r>
    </w:p>
    <w:p w:rsidR="0081492F" w:rsidRPr="00B34367" w:rsidRDefault="00B34367" w:rsidP="00B3436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eastAsia="Arial" w:cs="Arial"/>
          <w:color w:val="000000"/>
          <w:szCs w:val="24"/>
        </w:rPr>
      </w:pPr>
      <w:r w:rsidRPr="00B34367">
        <w:rPr>
          <w:rFonts w:eastAsia="Arial" w:cs="Arial"/>
          <w:color w:val="000000"/>
          <w:szCs w:val="24"/>
        </w:rPr>
        <w:lastRenderedPageBreak/>
        <w:tab/>
      </w:r>
      <w:r w:rsidRPr="00B34367">
        <w:rPr>
          <w:rFonts w:eastAsia="Arial" w:cs="Arial"/>
          <w:color w:val="000000"/>
          <w:szCs w:val="24"/>
        </w:rPr>
        <w:tab/>
      </w:r>
      <w:r w:rsidR="00787A5F" w:rsidRPr="00B34367">
        <w:rPr>
          <w:rFonts w:eastAsia="Arial" w:cs="Arial"/>
          <w:color w:val="000000"/>
          <w:szCs w:val="24"/>
          <w:highlight w:val="white"/>
        </w:rPr>
        <w:t>§2º</w:t>
      </w:r>
      <w:r w:rsidR="00787A5F" w:rsidRPr="00B34367">
        <w:rPr>
          <w:rFonts w:eastAsia="Arial" w:cs="Arial"/>
          <w:color w:val="000000"/>
          <w:szCs w:val="24"/>
          <w:highlight w:val="white"/>
        </w:rPr>
        <w:t xml:space="preserve"> </w:t>
      </w:r>
      <w:r w:rsidR="00787A5F" w:rsidRPr="00B34367">
        <w:rPr>
          <w:rFonts w:eastAsia="Arial" w:cs="Arial"/>
          <w:color w:val="000000"/>
          <w:szCs w:val="24"/>
        </w:rPr>
        <w:t xml:space="preserve">Fica assegurado o direito de renúncia à percepção dos honorários advocatícios estabelecidos no </w:t>
      </w:r>
      <w:r w:rsidR="00787A5F" w:rsidRPr="00B34367">
        <w:rPr>
          <w:rFonts w:eastAsia="Arial" w:cs="Arial"/>
          <w:i/>
          <w:color w:val="000000"/>
          <w:szCs w:val="24"/>
        </w:rPr>
        <w:t xml:space="preserve">caput </w:t>
      </w:r>
      <w:r w:rsidR="00787A5F" w:rsidRPr="00B34367">
        <w:rPr>
          <w:rFonts w:eastAsia="Arial" w:cs="Arial"/>
          <w:color w:val="000000"/>
          <w:szCs w:val="24"/>
        </w:rPr>
        <w:t>do art. 1º desta Lei, de</w:t>
      </w:r>
      <w:r w:rsidR="00787A5F" w:rsidRPr="00B34367">
        <w:rPr>
          <w:rFonts w:eastAsia="Arial" w:cs="Arial"/>
          <w:color w:val="000000"/>
          <w:szCs w:val="24"/>
        </w:rPr>
        <w:t xml:space="preserve">sde </w:t>
      </w:r>
      <w:proofErr w:type="gramStart"/>
      <w:r w:rsidR="00787A5F" w:rsidRPr="00B34367">
        <w:rPr>
          <w:rFonts w:eastAsia="Arial" w:cs="Arial"/>
          <w:color w:val="000000"/>
          <w:szCs w:val="24"/>
        </w:rPr>
        <w:t>que</w:t>
      </w:r>
      <w:proofErr w:type="gramEnd"/>
      <w:r w:rsidR="00787A5F" w:rsidRPr="00B34367">
        <w:rPr>
          <w:rFonts w:eastAsia="Arial" w:cs="Arial"/>
          <w:color w:val="000000"/>
          <w:szCs w:val="24"/>
        </w:rPr>
        <w:t xml:space="preserve"> mediante requerimento individual escrito até o quinto dia útil do mês subsequente àquele em que se apurou o montante arrecadado, nesse caso o valor renunciado será partilhado de forma igualitária entre os demais ocupantes de cargo de provimento efe</w:t>
      </w:r>
      <w:r w:rsidR="00787A5F" w:rsidRPr="00B34367">
        <w:rPr>
          <w:rFonts w:eastAsia="Arial" w:cs="Arial"/>
          <w:color w:val="000000"/>
          <w:szCs w:val="24"/>
        </w:rPr>
        <w:t>tivo de Procurador.</w:t>
      </w:r>
    </w:p>
    <w:p w:rsidR="00B34367" w:rsidRPr="00B34367" w:rsidRDefault="00B34367" w:rsidP="00B3436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Arial" w:cs="Arial"/>
          <w:color w:val="000000"/>
          <w:szCs w:val="24"/>
        </w:rPr>
      </w:pPr>
    </w:p>
    <w:p w:rsidR="00B34367" w:rsidRPr="00B34367" w:rsidRDefault="00B34367" w:rsidP="00B3436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eastAsia="Arial" w:cs="Arial"/>
          <w:color w:val="000000"/>
          <w:szCs w:val="24"/>
          <w:highlight w:val="white"/>
        </w:rPr>
      </w:pPr>
      <w:r w:rsidRPr="00B34367">
        <w:rPr>
          <w:rFonts w:eastAsia="Arial" w:cs="Arial"/>
          <w:b/>
          <w:color w:val="000000"/>
          <w:szCs w:val="24"/>
        </w:rPr>
        <w:tab/>
      </w:r>
      <w:r w:rsidRPr="00B34367">
        <w:rPr>
          <w:rFonts w:eastAsia="Arial" w:cs="Arial"/>
          <w:b/>
          <w:color w:val="000000"/>
          <w:szCs w:val="24"/>
        </w:rPr>
        <w:tab/>
      </w:r>
      <w:r w:rsidR="00787A5F" w:rsidRPr="00B34367">
        <w:rPr>
          <w:rFonts w:eastAsia="Arial" w:cs="Arial"/>
          <w:b/>
          <w:color w:val="000000"/>
          <w:szCs w:val="24"/>
        </w:rPr>
        <w:t>Art</w:t>
      </w:r>
      <w:r w:rsidRPr="00B34367">
        <w:rPr>
          <w:rFonts w:eastAsia="Arial" w:cs="Arial"/>
          <w:b/>
          <w:color w:val="000000"/>
          <w:szCs w:val="24"/>
        </w:rPr>
        <w:t>.</w:t>
      </w:r>
      <w:r w:rsidR="00787A5F" w:rsidRPr="00B34367">
        <w:rPr>
          <w:rFonts w:eastAsia="Arial" w:cs="Arial"/>
          <w:b/>
          <w:color w:val="000000"/>
          <w:szCs w:val="24"/>
        </w:rPr>
        <w:t xml:space="preserve"> 3º</w:t>
      </w:r>
      <w:r w:rsidR="00787A5F" w:rsidRPr="00B34367">
        <w:rPr>
          <w:rFonts w:eastAsia="Arial" w:cs="Arial"/>
          <w:color w:val="000000"/>
          <w:szCs w:val="24"/>
        </w:rPr>
        <w:t xml:space="preserve"> </w:t>
      </w:r>
      <w:r w:rsidR="00787A5F" w:rsidRPr="00B34367">
        <w:rPr>
          <w:rFonts w:eastAsia="Arial" w:cs="Arial"/>
          <w:color w:val="000000"/>
          <w:szCs w:val="24"/>
          <w:highlight w:val="white"/>
        </w:rPr>
        <w:t>Os honorários advocatícios serão devidos aos beneficiários sem prejuízo dos vencimentos integrais de seus cargos e funções.</w:t>
      </w:r>
    </w:p>
    <w:p w:rsidR="00B34367" w:rsidRPr="00B34367" w:rsidRDefault="00B34367" w:rsidP="00B3436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eastAsia="Arial" w:cs="Arial"/>
          <w:color w:val="000000"/>
          <w:szCs w:val="24"/>
        </w:rPr>
      </w:pPr>
      <w:r w:rsidRPr="00B34367">
        <w:rPr>
          <w:rFonts w:eastAsia="Arial" w:cs="Arial"/>
          <w:color w:val="000000"/>
          <w:szCs w:val="24"/>
        </w:rPr>
        <w:tab/>
      </w:r>
      <w:r w:rsidRPr="00B34367">
        <w:rPr>
          <w:rFonts w:eastAsia="Arial" w:cs="Arial"/>
          <w:color w:val="000000"/>
          <w:szCs w:val="24"/>
        </w:rPr>
        <w:tab/>
      </w:r>
      <w:r>
        <w:rPr>
          <w:rFonts w:eastAsia="Arial" w:cs="Arial"/>
          <w:color w:val="000000"/>
          <w:szCs w:val="24"/>
          <w:highlight w:val="white"/>
        </w:rPr>
        <w:t>§1º</w:t>
      </w:r>
      <w:r w:rsidR="00787A5F" w:rsidRPr="00B34367">
        <w:rPr>
          <w:rFonts w:eastAsia="Arial" w:cs="Arial"/>
          <w:color w:val="000000"/>
          <w:szCs w:val="24"/>
          <w:highlight w:val="white"/>
        </w:rPr>
        <w:t xml:space="preserve"> Os valores percebidos a título dos honorários advocatícios de que trata esta Lei não servirão de pa</w:t>
      </w:r>
      <w:r w:rsidR="00787A5F" w:rsidRPr="00B34367">
        <w:rPr>
          <w:rFonts w:eastAsia="Arial" w:cs="Arial"/>
          <w:color w:val="000000"/>
          <w:szCs w:val="24"/>
          <w:highlight w:val="white"/>
        </w:rPr>
        <w:t>râmetro, nem influenciarão nos percentuais, nos índices ou na data base de reajuste dos Procuradores, nem mesmo incidirão no cômputo de décimo terceiro salário, abono de férias e outras verbas legais.</w:t>
      </w:r>
    </w:p>
    <w:p w:rsidR="0081492F" w:rsidRPr="00B34367" w:rsidRDefault="00B34367" w:rsidP="00B3436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eastAsia="Arial" w:cs="Arial"/>
          <w:color w:val="000000"/>
          <w:szCs w:val="24"/>
        </w:rPr>
      </w:pPr>
      <w:r w:rsidRPr="00B34367">
        <w:rPr>
          <w:rFonts w:eastAsia="Arial" w:cs="Arial"/>
          <w:color w:val="000000"/>
          <w:szCs w:val="24"/>
        </w:rPr>
        <w:tab/>
      </w:r>
      <w:r w:rsidRPr="00B34367">
        <w:rPr>
          <w:rFonts w:eastAsia="Arial" w:cs="Arial"/>
          <w:color w:val="000000"/>
          <w:szCs w:val="24"/>
        </w:rPr>
        <w:tab/>
      </w:r>
      <w:r w:rsidR="00787A5F" w:rsidRPr="00B34367">
        <w:rPr>
          <w:rFonts w:eastAsia="Arial" w:cs="Arial"/>
          <w:color w:val="000000"/>
          <w:szCs w:val="24"/>
        </w:rPr>
        <w:t>§2º</w:t>
      </w:r>
      <w:r>
        <w:rPr>
          <w:rFonts w:eastAsia="Arial" w:cs="Arial"/>
          <w:color w:val="000000"/>
          <w:szCs w:val="24"/>
        </w:rPr>
        <w:t xml:space="preserve"> </w:t>
      </w:r>
      <w:r w:rsidR="00787A5F" w:rsidRPr="00B34367">
        <w:rPr>
          <w:rFonts w:eastAsia="Arial" w:cs="Arial"/>
          <w:color w:val="000000"/>
          <w:szCs w:val="24"/>
        </w:rPr>
        <w:t>Os honorários constituem verba variável, não incorp</w:t>
      </w:r>
      <w:r w:rsidR="00787A5F" w:rsidRPr="00B34367">
        <w:rPr>
          <w:rFonts w:eastAsia="Arial" w:cs="Arial"/>
          <w:color w:val="000000"/>
          <w:szCs w:val="24"/>
        </w:rPr>
        <w:t>orável, nem computável para cálculo de qualquer vantagem remuneratória, não estando sujeita à incidência de contribuição previdenciária.</w:t>
      </w:r>
    </w:p>
    <w:p w:rsidR="00B34367" w:rsidRPr="00B34367" w:rsidRDefault="00B34367" w:rsidP="00B3436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Arial" w:cs="Arial"/>
          <w:color w:val="000000"/>
          <w:szCs w:val="24"/>
        </w:rPr>
      </w:pPr>
    </w:p>
    <w:p w:rsidR="00B34367" w:rsidRPr="00B34367" w:rsidRDefault="00B34367" w:rsidP="00B3436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eastAsia="Arial" w:cs="Arial"/>
          <w:color w:val="000000"/>
          <w:szCs w:val="24"/>
        </w:rPr>
      </w:pPr>
      <w:r w:rsidRPr="00B34367">
        <w:rPr>
          <w:rFonts w:eastAsia="Arial" w:cs="Arial"/>
          <w:b/>
          <w:color w:val="000000"/>
          <w:szCs w:val="24"/>
        </w:rPr>
        <w:tab/>
      </w:r>
      <w:r w:rsidRPr="00B34367">
        <w:rPr>
          <w:rFonts w:eastAsia="Arial" w:cs="Arial"/>
          <w:b/>
          <w:color w:val="000000"/>
          <w:szCs w:val="24"/>
        </w:rPr>
        <w:tab/>
      </w:r>
      <w:r w:rsidR="00787A5F" w:rsidRPr="00B34367">
        <w:rPr>
          <w:rFonts w:eastAsia="Arial" w:cs="Arial"/>
          <w:b/>
          <w:color w:val="000000"/>
          <w:szCs w:val="24"/>
        </w:rPr>
        <w:t>Art. 4º</w:t>
      </w:r>
      <w:r w:rsidR="00787A5F" w:rsidRPr="00B34367">
        <w:rPr>
          <w:rFonts w:eastAsia="Arial" w:cs="Arial"/>
          <w:color w:val="000000"/>
          <w:szCs w:val="24"/>
        </w:rPr>
        <w:t xml:space="preserve"> </w:t>
      </w:r>
      <w:r w:rsidR="00787A5F" w:rsidRPr="00B34367">
        <w:rPr>
          <w:rFonts w:eastAsia="Arial" w:cs="Arial"/>
          <w:color w:val="000000"/>
          <w:szCs w:val="24"/>
        </w:rPr>
        <w:t>Para o cumprimento desta Lei, o recolhimento dos honorários será feito</w:t>
      </w:r>
      <w:r w:rsidR="00787A5F" w:rsidRPr="00B34367">
        <w:rPr>
          <w:rFonts w:eastAsia="Arial" w:cs="Arial"/>
          <w:color w:val="000000"/>
          <w:szCs w:val="24"/>
        </w:rPr>
        <w:t xml:space="preserve"> em guia</w:t>
      </w:r>
      <w:r w:rsidR="00787A5F" w:rsidRPr="00B34367">
        <w:rPr>
          <w:rFonts w:eastAsia="Arial" w:cs="Arial"/>
          <w:color w:val="000000"/>
          <w:szCs w:val="24"/>
        </w:rPr>
        <w:t xml:space="preserve">s próprias e em conta vinculada </w:t>
      </w:r>
      <w:r w:rsidR="00787A5F" w:rsidRPr="00B34367">
        <w:rPr>
          <w:rFonts w:eastAsia="Arial" w:cs="Arial"/>
          <w:color w:val="000000"/>
          <w:szCs w:val="24"/>
        </w:rPr>
        <w:t xml:space="preserve">da </w:t>
      </w:r>
      <w:r w:rsidR="00787A5F" w:rsidRPr="00B34367">
        <w:rPr>
          <w:rFonts w:eastAsia="Arial" w:cs="Arial"/>
          <w:color w:val="000000"/>
          <w:szCs w:val="24"/>
        </w:rPr>
        <w:t>Câmara Municipal de Valinhos.</w:t>
      </w:r>
    </w:p>
    <w:p w:rsidR="00B34367" w:rsidRPr="00B34367" w:rsidRDefault="00B34367" w:rsidP="00B3436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eastAsia="Arial" w:cs="Arial"/>
          <w:color w:val="000000"/>
          <w:szCs w:val="24"/>
        </w:rPr>
      </w:pPr>
      <w:r w:rsidRPr="00B34367">
        <w:rPr>
          <w:rFonts w:eastAsia="Arial" w:cs="Arial"/>
          <w:color w:val="000000"/>
          <w:szCs w:val="24"/>
        </w:rPr>
        <w:tab/>
      </w:r>
      <w:r w:rsidRPr="00B34367">
        <w:rPr>
          <w:rFonts w:eastAsia="Arial" w:cs="Arial"/>
          <w:color w:val="000000"/>
          <w:szCs w:val="24"/>
        </w:rPr>
        <w:tab/>
      </w:r>
      <w:r w:rsidR="00787A5F" w:rsidRPr="00B34367">
        <w:rPr>
          <w:rFonts w:eastAsia="Arial" w:cs="Arial"/>
          <w:color w:val="000000"/>
          <w:szCs w:val="24"/>
        </w:rPr>
        <w:t>§1º Os honorários advocatícios arrecadados serão partilhados e repassados aos Procuradores mediante transferência bancária para as contas individuais indicadas pelos beneficiários.</w:t>
      </w:r>
    </w:p>
    <w:p w:rsidR="0081492F" w:rsidRPr="00B34367" w:rsidRDefault="00B34367" w:rsidP="00B3436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eastAsia="Arial" w:cs="Arial"/>
          <w:color w:val="000000"/>
          <w:szCs w:val="24"/>
        </w:rPr>
      </w:pPr>
      <w:r w:rsidRPr="00B34367">
        <w:rPr>
          <w:rFonts w:eastAsia="Arial" w:cs="Arial"/>
          <w:color w:val="000000"/>
          <w:szCs w:val="24"/>
        </w:rPr>
        <w:tab/>
      </w:r>
      <w:r w:rsidRPr="00B34367">
        <w:rPr>
          <w:rFonts w:eastAsia="Arial" w:cs="Arial"/>
          <w:color w:val="000000"/>
          <w:szCs w:val="24"/>
        </w:rPr>
        <w:tab/>
      </w:r>
      <w:r w:rsidR="00787A5F" w:rsidRPr="00B34367">
        <w:rPr>
          <w:rFonts w:eastAsia="Arial" w:cs="Arial"/>
          <w:color w:val="000000"/>
          <w:szCs w:val="24"/>
        </w:rPr>
        <w:t xml:space="preserve">§2º O repasse mensal ocorrerá até o dia 15 (quinze) do mês subsequente àquele em que </w:t>
      </w:r>
      <w:r w:rsidR="00787A5F" w:rsidRPr="00B34367">
        <w:rPr>
          <w:rFonts w:eastAsia="Arial" w:cs="Arial"/>
          <w:color w:val="000000"/>
          <w:szCs w:val="24"/>
        </w:rPr>
        <w:t>se apurou o montante arrecadado.</w:t>
      </w:r>
    </w:p>
    <w:p w:rsidR="00B34367" w:rsidRPr="00B34367" w:rsidRDefault="00B34367" w:rsidP="00B3436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Arial" w:cs="Arial"/>
          <w:color w:val="000000"/>
          <w:szCs w:val="24"/>
          <w:highlight w:val="white"/>
        </w:rPr>
      </w:pPr>
    </w:p>
    <w:p w:rsidR="0081492F" w:rsidRPr="00B34367" w:rsidRDefault="00B34367" w:rsidP="00B3436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eastAsia="Arial" w:cs="Arial"/>
          <w:color w:val="000000"/>
          <w:szCs w:val="24"/>
          <w:highlight w:val="white"/>
        </w:rPr>
      </w:pPr>
      <w:r w:rsidRPr="00B34367">
        <w:rPr>
          <w:rFonts w:eastAsia="Arial" w:cs="Arial"/>
          <w:b/>
          <w:color w:val="000000"/>
          <w:szCs w:val="24"/>
        </w:rPr>
        <w:tab/>
      </w:r>
      <w:r w:rsidRPr="00B34367">
        <w:rPr>
          <w:rFonts w:eastAsia="Arial" w:cs="Arial"/>
          <w:b/>
          <w:color w:val="000000"/>
          <w:szCs w:val="24"/>
        </w:rPr>
        <w:tab/>
      </w:r>
      <w:r w:rsidR="00787A5F" w:rsidRPr="00B34367">
        <w:rPr>
          <w:rFonts w:eastAsia="Arial" w:cs="Arial"/>
          <w:b/>
          <w:color w:val="000000"/>
          <w:szCs w:val="24"/>
          <w:highlight w:val="white"/>
        </w:rPr>
        <w:t>Art. 5</w:t>
      </w:r>
      <w:r w:rsidRPr="00B34367">
        <w:rPr>
          <w:rFonts w:eastAsia="Arial" w:cs="Arial"/>
          <w:b/>
          <w:color w:val="000000"/>
          <w:szCs w:val="24"/>
          <w:highlight w:val="white"/>
        </w:rPr>
        <w:t>º</w:t>
      </w:r>
      <w:r w:rsidR="00787A5F" w:rsidRPr="00B34367">
        <w:rPr>
          <w:rFonts w:eastAsia="Arial" w:cs="Arial"/>
          <w:color w:val="000000"/>
          <w:szCs w:val="24"/>
          <w:highlight w:val="white"/>
        </w:rPr>
        <w:t xml:space="preserve"> Na hipótese de fé</w:t>
      </w:r>
      <w:r w:rsidR="00787A5F" w:rsidRPr="00B34367">
        <w:rPr>
          <w:rFonts w:eastAsia="Arial" w:cs="Arial"/>
          <w:color w:val="000000"/>
          <w:szCs w:val="24"/>
          <w:highlight w:val="white"/>
        </w:rPr>
        <w:t>rias, afastamentos ou licenças</w:t>
      </w:r>
      <w:r w:rsidR="00787A5F" w:rsidRPr="00B34367">
        <w:rPr>
          <w:rFonts w:eastAsia="Arial" w:cs="Arial"/>
          <w:color w:val="000000"/>
          <w:szCs w:val="24"/>
          <w:highlight w:val="white"/>
        </w:rPr>
        <w:t xml:space="preserve"> os Procuradores não perderão o dire</w:t>
      </w:r>
      <w:r w:rsidR="00787A5F" w:rsidRPr="00B34367">
        <w:rPr>
          <w:rFonts w:eastAsia="Arial" w:cs="Arial"/>
          <w:color w:val="000000"/>
          <w:szCs w:val="24"/>
          <w:highlight w:val="white"/>
        </w:rPr>
        <w:t xml:space="preserve">ito aos honorários advocatícios, </w:t>
      </w:r>
      <w:r w:rsidR="00787A5F" w:rsidRPr="00B34367">
        <w:rPr>
          <w:rFonts w:eastAsia="Arial" w:cs="Arial"/>
          <w:color w:val="000000"/>
          <w:szCs w:val="24"/>
          <w:highlight w:val="white"/>
        </w:rPr>
        <w:t xml:space="preserve">salvo na </w:t>
      </w:r>
      <w:r w:rsidR="00787A5F" w:rsidRPr="00B34367">
        <w:rPr>
          <w:rFonts w:eastAsia="Arial" w:cs="Arial"/>
          <w:color w:val="000000"/>
          <w:szCs w:val="24"/>
          <w:highlight w:val="white"/>
        </w:rPr>
        <w:t>hipótese de licença não remunerada</w:t>
      </w:r>
      <w:r w:rsidR="00787A5F" w:rsidRPr="00B34367">
        <w:rPr>
          <w:rFonts w:eastAsia="Arial" w:cs="Arial"/>
          <w:color w:val="000000"/>
          <w:szCs w:val="24"/>
          <w:highlight w:val="white"/>
        </w:rPr>
        <w:t>.</w:t>
      </w:r>
    </w:p>
    <w:p w:rsidR="00B34367" w:rsidRPr="00B34367" w:rsidRDefault="00B34367" w:rsidP="00B3436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Arial" w:cs="Arial"/>
          <w:color w:val="000000"/>
          <w:szCs w:val="24"/>
        </w:rPr>
      </w:pPr>
    </w:p>
    <w:p w:rsidR="0081492F" w:rsidRPr="00B34367" w:rsidRDefault="00B34367" w:rsidP="00B3436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eastAsia="Arial" w:cs="Arial"/>
          <w:color w:val="000000"/>
          <w:szCs w:val="24"/>
        </w:rPr>
      </w:pPr>
      <w:r w:rsidRPr="00B34367">
        <w:rPr>
          <w:rFonts w:eastAsia="Arial" w:cs="Arial"/>
          <w:b/>
          <w:color w:val="000000"/>
          <w:szCs w:val="24"/>
        </w:rPr>
        <w:lastRenderedPageBreak/>
        <w:tab/>
      </w:r>
      <w:r w:rsidRPr="00B34367">
        <w:rPr>
          <w:rFonts w:eastAsia="Arial" w:cs="Arial"/>
          <w:b/>
          <w:color w:val="000000"/>
          <w:szCs w:val="24"/>
        </w:rPr>
        <w:tab/>
      </w:r>
      <w:r>
        <w:rPr>
          <w:rFonts w:eastAsia="Arial" w:cs="Arial"/>
          <w:b/>
          <w:color w:val="000000"/>
          <w:szCs w:val="24"/>
        </w:rPr>
        <w:t>Art. 6º</w:t>
      </w:r>
      <w:r w:rsidR="00787A5F" w:rsidRPr="00B34367">
        <w:rPr>
          <w:rFonts w:eastAsia="Arial" w:cs="Arial"/>
          <w:color w:val="000000"/>
          <w:szCs w:val="24"/>
        </w:rPr>
        <w:t xml:space="preserve"> </w:t>
      </w:r>
      <w:r w:rsidR="00787A5F" w:rsidRPr="00B34367">
        <w:rPr>
          <w:rFonts w:eastAsia="Arial" w:cs="Arial"/>
          <w:color w:val="000000"/>
          <w:szCs w:val="24"/>
        </w:rPr>
        <w:t>A Mesa Diretora</w:t>
      </w:r>
      <w:r w:rsidR="00787A5F" w:rsidRPr="00B34367">
        <w:rPr>
          <w:rFonts w:eastAsia="Arial" w:cs="Arial"/>
          <w:color w:val="000000"/>
          <w:szCs w:val="24"/>
        </w:rPr>
        <w:t xml:space="preserve"> expedirá os atos que se fizer</w:t>
      </w:r>
      <w:r w:rsidR="00787A5F" w:rsidRPr="00B34367">
        <w:rPr>
          <w:rFonts w:eastAsia="Arial" w:cs="Arial"/>
          <w:color w:val="000000"/>
          <w:szCs w:val="24"/>
        </w:rPr>
        <w:t xml:space="preserve">em necessários à regulamentação </w:t>
      </w:r>
      <w:r w:rsidR="00787A5F" w:rsidRPr="00B34367">
        <w:rPr>
          <w:rFonts w:eastAsia="Arial" w:cs="Arial"/>
          <w:color w:val="000000"/>
          <w:szCs w:val="24"/>
        </w:rPr>
        <w:t>da presente lei.</w:t>
      </w:r>
    </w:p>
    <w:p w:rsidR="00B34367" w:rsidRPr="00B34367" w:rsidRDefault="00B34367" w:rsidP="00B3436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Arial" w:cs="Arial"/>
          <w:color w:val="000000"/>
          <w:szCs w:val="24"/>
        </w:rPr>
      </w:pPr>
    </w:p>
    <w:p w:rsidR="0081492F" w:rsidRPr="00B34367" w:rsidRDefault="00B34367" w:rsidP="00B3436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eastAsia="Arial" w:cs="Arial"/>
          <w:color w:val="000000"/>
          <w:szCs w:val="24"/>
        </w:rPr>
      </w:pPr>
      <w:r w:rsidRPr="00B34367">
        <w:rPr>
          <w:rFonts w:eastAsia="Arial" w:cs="Arial"/>
          <w:b/>
          <w:color w:val="000000"/>
          <w:szCs w:val="24"/>
        </w:rPr>
        <w:tab/>
      </w:r>
      <w:r w:rsidRPr="00B34367">
        <w:rPr>
          <w:rFonts w:eastAsia="Arial" w:cs="Arial"/>
          <w:b/>
          <w:color w:val="000000"/>
          <w:szCs w:val="24"/>
        </w:rPr>
        <w:tab/>
      </w:r>
      <w:r w:rsidR="00787A5F" w:rsidRPr="00B34367">
        <w:rPr>
          <w:rFonts w:eastAsia="Arial" w:cs="Arial"/>
          <w:b/>
          <w:color w:val="000000"/>
          <w:szCs w:val="24"/>
        </w:rPr>
        <w:t>Art. 7</w:t>
      </w:r>
      <w:r>
        <w:rPr>
          <w:rFonts w:eastAsia="Arial" w:cs="Arial"/>
          <w:b/>
          <w:color w:val="000000"/>
          <w:szCs w:val="24"/>
        </w:rPr>
        <w:t>º</w:t>
      </w:r>
      <w:r w:rsidR="00787A5F" w:rsidRPr="00B34367">
        <w:rPr>
          <w:rFonts w:eastAsia="Arial" w:cs="Arial"/>
          <w:color w:val="000000"/>
          <w:szCs w:val="24"/>
        </w:rPr>
        <w:t xml:space="preserve"> Esta Lei entra em vigor na data de sua publicação.</w:t>
      </w:r>
    </w:p>
    <w:p w:rsidR="00B34367" w:rsidRPr="00B34367" w:rsidRDefault="00B34367" w:rsidP="00B3436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snapToGrid w:val="0"/>
          <w:color w:val="000000"/>
          <w:szCs w:val="24"/>
          <w:lang w:eastAsia="en-US"/>
        </w:rPr>
      </w:pPr>
    </w:p>
    <w:p w:rsidR="00B34367" w:rsidRPr="00B34367" w:rsidRDefault="00B34367" w:rsidP="00B3436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snapToGrid w:val="0"/>
          <w:color w:val="000000"/>
          <w:szCs w:val="24"/>
          <w:lang w:eastAsia="en-US"/>
        </w:rPr>
      </w:pPr>
      <w:r w:rsidRPr="00B34367">
        <w:rPr>
          <w:rFonts w:eastAsia="Calibri" w:cs="Arial"/>
          <w:snapToGrid w:val="0"/>
          <w:color w:val="000000"/>
          <w:szCs w:val="24"/>
          <w:lang w:eastAsia="en-US"/>
        </w:rPr>
        <w:tab/>
      </w:r>
      <w:r w:rsidRPr="00B34367">
        <w:rPr>
          <w:rFonts w:eastAsia="Calibri" w:cs="Arial"/>
          <w:snapToGrid w:val="0"/>
          <w:color w:val="000000"/>
          <w:szCs w:val="24"/>
          <w:lang w:eastAsia="en-US"/>
        </w:rPr>
        <w:tab/>
        <w:t>Câmara Municipal de Valinhos,</w:t>
      </w:r>
    </w:p>
    <w:p w:rsidR="00B34367" w:rsidRPr="00B34367" w:rsidRDefault="00B34367" w:rsidP="00B3436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snapToGrid w:val="0"/>
          <w:color w:val="000000"/>
          <w:szCs w:val="24"/>
          <w:lang w:eastAsia="en-US"/>
        </w:rPr>
      </w:pPr>
      <w:r w:rsidRPr="00B34367">
        <w:rPr>
          <w:rFonts w:eastAsia="Calibri" w:cs="Arial"/>
          <w:snapToGrid w:val="0"/>
          <w:color w:val="000000"/>
          <w:szCs w:val="24"/>
          <w:lang w:eastAsia="en-US"/>
        </w:rPr>
        <w:tab/>
      </w:r>
      <w:r w:rsidRPr="00B34367">
        <w:rPr>
          <w:rFonts w:eastAsia="Calibri" w:cs="Arial"/>
          <w:snapToGrid w:val="0"/>
          <w:color w:val="000000"/>
          <w:szCs w:val="24"/>
          <w:lang w:eastAsia="en-US"/>
        </w:rPr>
        <w:tab/>
      </w:r>
      <w:proofErr w:type="gramStart"/>
      <w:r w:rsidRPr="00B34367">
        <w:rPr>
          <w:rFonts w:eastAsia="Calibri" w:cs="Arial"/>
          <w:snapToGrid w:val="0"/>
          <w:color w:val="000000"/>
          <w:szCs w:val="24"/>
          <w:lang w:eastAsia="en-US"/>
        </w:rPr>
        <w:t>aos</w:t>
      </w:r>
      <w:proofErr w:type="gramEnd"/>
      <w:r w:rsidRPr="00B34367">
        <w:rPr>
          <w:rFonts w:eastAsia="Calibri" w:cs="Arial"/>
          <w:snapToGrid w:val="0"/>
          <w:color w:val="000000"/>
          <w:szCs w:val="24"/>
          <w:lang w:eastAsia="en-US"/>
        </w:rPr>
        <w:t xml:space="preserve"> </w:t>
      </w:r>
      <w:r>
        <w:rPr>
          <w:rFonts w:eastAsia="Calibri" w:cs="Arial"/>
          <w:snapToGrid w:val="0"/>
          <w:color w:val="000000"/>
          <w:szCs w:val="24"/>
          <w:lang w:eastAsia="en-US"/>
        </w:rPr>
        <w:t>13</w:t>
      </w:r>
      <w:r w:rsidRPr="00B34367">
        <w:rPr>
          <w:rFonts w:eastAsia="Calibri" w:cs="Arial"/>
          <w:snapToGrid w:val="0"/>
          <w:color w:val="000000"/>
          <w:szCs w:val="24"/>
          <w:lang w:eastAsia="en-US"/>
        </w:rPr>
        <w:t xml:space="preserve"> de dezembro de 2022.</w:t>
      </w:r>
    </w:p>
    <w:p w:rsidR="00B34367" w:rsidRPr="00B34367" w:rsidRDefault="00B34367" w:rsidP="00B3436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snapToGrid w:val="0"/>
          <w:color w:val="000000"/>
          <w:szCs w:val="24"/>
          <w:lang w:eastAsia="en-US"/>
        </w:rPr>
      </w:pPr>
    </w:p>
    <w:p w:rsidR="00B34367" w:rsidRPr="00B34367" w:rsidRDefault="00B34367" w:rsidP="00B3436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snapToGrid w:val="0"/>
          <w:color w:val="000000"/>
          <w:szCs w:val="24"/>
          <w:lang w:eastAsia="en-US"/>
        </w:rPr>
      </w:pPr>
    </w:p>
    <w:p w:rsidR="00B34367" w:rsidRPr="00B34367" w:rsidRDefault="00B34367" w:rsidP="00B3436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  <w:r w:rsidRPr="00B34367">
        <w:rPr>
          <w:rFonts w:eastAsia="Calibri" w:cs="Arial"/>
          <w:b/>
          <w:snapToGrid w:val="0"/>
          <w:color w:val="000000"/>
          <w:szCs w:val="24"/>
          <w:lang w:eastAsia="en-US"/>
        </w:rPr>
        <w:tab/>
      </w:r>
      <w:r w:rsidRPr="00B34367">
        <w:rPr>
          <w:rFonts w:eastAsia="Calibri" w:cs="Arial"/>
          <w:b/>
          <w:snapToGrid w:val="0"/>
          <w:color w:val="000000"/>
          <w:szCs w:val="24"/>
          <w:lang w:eastAsia="en-US"/>
        </w:rPr>
        <w:tab/>
        <w:t>Franklin Duarte de Lima</w:t>
      </w:r>
    </w:p>
    <w:p w:rsidR="00B34367" w:rsidRPr="00B34367" w:rsidRDefault="00B34367" w:rsidP="00B3436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  <w:r w:rsidRPr="00B34367">
        <w:rPr>
          <w:rFonts w:eastAsia="Calibri" w:cs="Arial"/>
          <w:b/>
          <w:snapToGrid w:val="0"/>
          <w:color w:val="000000"/>
          <w:szCs w:val="24"/>
          <w:lang w:eastAsia="en-US"/>
        </w:rPr>
        <w:tab/>
      </w:r>
      <w:r w:rsidRPr="00B34367">
        <w:rPr>
          <w:rFonts w:eastAsia="Calibri" w:cs="Arial"/>
          <w:b/>
          <w:snapToGrid w:val="0"/>
          <w:color w:val="000000"/>
          <w:szCs w:val="24"/>
          <w:lang w:eastAsia="en-US"/>
        </w:rPr>
        <w:tab/>
        <w:t>Presidente</w:t>
      </w:r>
    </w:p>
    <w:p w:rsidR="00B34367" w:rsidRPr="00B34367" w:rsidRDefault="00B34367" w:rsidP="00B3436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</w:p>
    <w:p w:rsidR="00B34367" w:rsidRPr="00B34367" w:rsidRDefault="00B34367" w:rsidP="00B3436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</w:p>
    <w:p w:rsidR="00B34367" w:rsidRPr="00B34367" w:rsidRDefault="00B34367" w:rsidP="00B3436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  <w:r w:rsidRPr="00B34367">
        <w:rPr>
          <w:rFonts w:eastAsia="Calibri" w:cs="Arial"/>
          <w:b/>
          <w:snapToGrid w:val="0"/>
          <w:color w:val="000000"/>
          <w:szCs w:val="24"/>
          <w:lang w:eastAsia="en-US"/>
        </w:rPr>
        <w:tab/>
      </w:r>
      <w:r w:rsidRPr="00B34367">
        <w:rPr>
          <w:rFonts w:eastAsia="Calibri" w:cs="Arial"/>
          <w:b/>
          <w:snapToGrid w:val="0"/>
          <w:color w:val="000000"/>
          <w:szCs w:val="24"/>
          <w:lang w:eastAsia="en-US"/>
        </w:rPr>
        <w:tab/>
        <w:t>Luiz Mayr Neto</w:t>
      </w:r>
    </w:p>
    <w:p w:rsidR="00B34367" w:rsidRPr="00B34367" w:rsidRDefault="00B34367" w:rsidP="00B3436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  <w:r w:rsidRPr="00B34367">
        <w:rPr>
          <w:rFonts w:eastAsia="Calibri" w:cs="Arial"/>
          <w:b/>
          <w:snapToGrid w:val="0"/>
          <w:color w:val="000000"/>
          <w:szCs w:val="24"/>
          <w:lang w:eastAsia="en-US"/>
        </w:rPr>
        <w:tab/>
      </w:r>
      <w:r w:rsidRPr="00B34367">
        <w:rPr>
          <w:rFonts w:eastAsia="Calibri" w:cs="Arial"/>
          <w:b/>
          <w:snapToGrid w:val="0"/>
          <w:color w:val="000000"/>
          <w:szCs w:val="24"/>
          <w:lang w:eastAsia="en-US"/>
        </w:rPr>
        <w:tab/>
        <w:t>1º Secretário</w:t>
      </w:r>
    </w:p>
    <w:p w:rsidR="00B34367" w:rsidRPr="00B34367" w:rsidRDefault="00B34367" w:rsidP="00B3436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</w:p>
    <w:p w:rsidR="00B34367" w:rsidRPr="00B34367" w:rsidRDefault="00B34367" w:rsidP="00B3436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</w:p>
    <w:p w:rsidR="00B34367" w:rsidRPr="00B34367" w:rsidRDefault="00B34367" w:rsidP="00B3436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  <w:r w:rsidRPr="00B34367">
        <w:rPr>
          <w:rFonts w:eastAsia="Calibri" w:cs="Arial"/>
          <w:b/>
          <w:snapToGrid w:val="0"/>
          <w:color w:val="000000"/>
          <w:szCs w:val="24"/>
          <w:lang w:eastAsia="en-US"/>
        </w:rPr>
        <w:tab/>
      </w:r>
      <w:r w:rsidRPr="00B34367">
        <w:rPr>
          <w:rFonts w:eastAsia="Calibri" w:cs="Arial"/>
          <w:b/>
          <w:snapToGrid w:val="0"/>
          <w:color w:val="000000"/>
          <w:szCs w:val="24"/>
          <w:lang w:eastAsia="en-US"/>
        </w:rPr>
        <w:tab/>
        <w:t xml:space="preserve">Simone Aparecida Bellini </w:t>
      </w:r>
      <w:proofErr w:type="spellStart"/>
      <w:r w:rsidRPr="00B34367">
        <w:rPr>
          <w:rFonts w:eastAsia="Calibri" w:cs="Arial"/>
          <w:b/>
          <w:snapToGrid w:val="0"/>
          <w:color w:val="000000"/>
          <w:szCs w:val="24"/>
          <w:lang w:eastAsia="en-US"/>
        </w:rPr>
        <w:t>Marcatto</w:t>
      </w:r>
      <w:proofErr w:type="spellEnd"/>
    </w:p>
    <w:p w:rsidR="00B34367" w:rsidRPr="00B34367" w:rsidRDefault="00B34367" w:rsidP="00B3436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  <w:r w:rsidRPr="00B34367">
        <w:rPr>
          <w:rFonts w:eastAsia="Calibri" w:cs="Arial"/>
          <w:b/>
          <w:snapToGrid w:val="0"/>
          <w:color w:val="000000"/>
          <w:szCs w:val="24"/>
          <w:lang w:eastAsia="en-US"/>
        </w:rPr>
        <w:tab/>
      </w:r>
      <w:r w:rsidRPr="00B34367">
        <w:rPr>
          <w:rFonts w:eastAsia="Calibri" w:cs="Arial"/>
          <w:b/>
          <w:snapToGrid w:val="0"/>
          <w:color w:val="000000"/>
          <w:szCs w:val="24"/>
          <w:lang w:eastAsia="en-US"/>
        </w:rPr>
        <w:tab/>
        <w:t>2ª Secretária</w:t>
      </w:r>
    </w:p>
    <w:p w:rsidR="00B34367" w:rsidRPr="00B34367" w:rsidRDefault="00B34367" w:rsidP="00B3436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</w:p>
    <w:p w:rsidR="00B34367" w:rsidRPr="00B34367" w:rsidRDefault="00B34367" w:rsidP="00B3436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snapToGrid w:val="0"/>
          <w:color w:val="000000"/>
          <w:szCs w:val="24"/>
          <w:lang w:eastAsia="en-US"/>
        </w:rPr>
      </w:pPr>
      <w:r w:rsidRPr="00B34367">
        <w:rPr>
          <w:rFonts w:eastAsia="Calibri" w:cs="Arial"/>
          <w:snapToGrid w:val="0"/>
          <w:color w:val="000000"/>
          <w:szCs w:val="24"/>
          <w:lang w:eastAsia="en-US"/>
        </w:rPr>
        <w:t xml:space="preserve">Projeto de Lei de iniciativa </w:t>
      </w:r>
      <w:r>
        <w:rPr>
          <w:rFonts w:eastAsia="Calibri" w:cs="Arial"/>
          <w:snapToGrid w:val="0"/>
          <w:color w:val="000000"/>
          <w:szCs w:val="24"/>
          <w:lang w:eastAsia="en-US"/>
        </w:rPr>
        <w:t xml:space="preserve">dos vereadores Gabriel Bueno Fioravanti, Alécio </w:t>
      </w:r>
      <w:proofErr w:type="spellStart"/>
      <w:r>
        <w:rPr>
          <w:rFonts w:eastAsia="Calibri" w:cs="Arial"/>
          <w:snapToGrid w:val="0"/>
          <w:color w:val="000000"/>
          <w:szCs w:val="24"/>
          <w:lang w:eastAsia="en-US"/>
        </w:rPr>
        <w:t>Cau</w:t>
      </w:r>
      <w:proofErr w:type="spellEnd"/>
      <w:r>
        <w:rPr>
          <w:rFonts w:eastAsia="Calibri" w:cs="Arial"/>
          <w:snapToGrid w:val="0"/>
          <w:color w:val="000000"/>
          <w:szCs w:val="24"/>
          <w:lang w:eastAsia="en-US"/>
        </w:rPr>
        <w:t xml:space="preserve">, Alexandre Luiz Cordeiro Felix, André Leal Amaral, César Rocha Andrade da Silva, Eder </w:t>
      </w:r>
      <w:proofErr w:type="spellStart"/>
      <w:r>
        <w:rPr>
          <w:rFonts w:eastAsia="Calibri" w:cs="Arial"/>
          <w:snapToGrid w:val="0"/>
          <w:color w:val="000000"/>
          <w:szCs w:val="24"/>
          <w:lang w:eastAsia="en-US"/>
        </w:rPr>
        <w:t>Linio</w:t>
      </w:r>
      <w:proofErr w:type="spellEnd"/>
      <w:r>
        <w:rPr>
          <w:rFonts w:eastAsia="Calibri" w:cs="Arial"/>
          <w:snapToGrid w:val="0"/>
          <w:color w:val="000000"/>
          <w:szCs w:val="24"/>
          <w:lang w:eastAsia="en-US"/>
        </w:rPr>
        <w:t xml:space="preserve"> Garcia, Fábio Aparecido Damasceno, Franklin Duarte de Lima, José Henrique Conti, Marcelo Sussumu Yanachi Yoshida, Luiz Mayr Neto, Mônica Valéria </w:t>
      </w:r>
      <w:proofErr w:type="spellStart"/>
      <w:r>
        <w:rPr>
          <w:rFonts w:eastAsia="Calibri" w:cs="Arial"/>
          <w:snapToGrid w:val="0"/>
          <w:color w:val="000000"/>
          <w:szCs w:val="24"/>
          <w:lang w:eastAsia="en-US"/>
        </w:rPr>
        <w:t>Morandi</w:t>
      </w:r>
      <w:proofErr w:type="spellEnd"/>
      <w:r>
        <w:rPr>
          <w:rFonts w:eastAsia="Calibri" w:cs="Arial"/>
          <w:snapToGrid w:val="0"/>
          <w:color w:val="000000"/>
          <w:szCs w:val="24"/>
          <w:lang w:eastAsia="en-US"/>
        </w:rPr>
        <w:t xml:space="preserve"> Xavier da Silva, Simone Aparecida Bellini </w:t>
      </w:r>
      <w:proofErr w:type="spellStart"/>
      <w:r>
        <w:rPr>
          <w:rFonts w:eastAsia="Calibri" w:cs="Arial"/>
          <w:snapToGrid w:val="0"/>
          <w:color w:val="000000"/>
          <w:szCs w:val="24"/>
          <w:lang w:eastAsia="en-US"/>
        </w:rPr>
        <w:t>Marcatto</w:t>
      </w:r>
      <w:proofErr w:type="spellEnd"/>
      <w:r>
        <w:rPr>
          <w:rFonts w:eastAsia="Calibri" w:cs="Arial"/>
          <w:snapToGrid w:val="0"/>
          <w:color w:val="000000"/>
          <w:szCs w:val="24"/>
          <w:lang w:eastAsia="en-US"/>
        </w:rPr>
        <w:t xml:space="preserve">, Thiago </w:t>
      </w:r>
      <w:proofErr w:type="spellStart"/>
      <w:r>
        <w:rPr>
          <w:rFonts w:eastAsia="Calibri" w:cs="Arial"/>
          <w:snapToGrid w:val="0"/>
          <w:color w:val="000000"/>
          <w:szCs w:val="24"/>
          <w:lang w:eastAsia="en-US"/>
        </w:rPr>
        <w:t>Samasso</w:t>
      </w:r>
      <w:proofErr w:type="spellEnd"/>
      <w:r>
        <w:rPr>
          <w:rFonts w:eastAsia="Calibri" w:cs="Arial"/>
          <w:snapToGrid w:val="0"/>
          <w:color w:val="000000"/>
          <w:szCs w:val="24"/>
          <w:lang w:eastAsia="en-US"/>
        </w:rPr>
        <w:t xml:space="preserve">, </w:t>
      </w:r>
      <w:proofErr w:type="spellStart"/>
      <w:r>
        <w:rPr>
          <w:rFonts w:eastAsia="Calibri" w:cs="Arial"/>
          <w:snapToGrid w:val="0"/>
          <w:color w:val="000000"/>
          <w:szCs w:val="24"/>
          <w:lang w:eastAsia="en-US"/>
        </w:rPr>
        <w:t>Sidmar</w:t>
      </w:r>
      <w:proofErr w:type="spellEnd"/>
      <w:r>
        <w:rPr>
          <w:rFonts w:eastAsia="Calibri" w:cs="Arial"/>
          <w:snapToGrid w:val="0"/>
          <w:color w:val="000000"/>
          <w:szCs w:val="24"/>
          <w:lang w:eastAsia="en-US"/>
        </w:rPr>
        <w:t xml:space="preserve"> Rodrigo </w:t>
      </w:r>
      <w:proofErr w:type="spellStart"/>
      <w:r>
        <w:rPr>
          <w:rFonts w:eastAsia="Calibri" w:cs="Arial"/>
          <w:snapToGrid w:val="0"/>
          <w:color w:val="000000"/>
          <w:szCs w:val="24"/>
          <w:lang w:eastAsia="en-US"/>
        </w:rPr>
        <w:t>Toloi</w:t>
      </w:r>
      <w:proofErr w:type="spellEnd"/>
      <w:r>
        <w:rPr>
          <w:rFonts w:eastAsia="Calibri" w:cs="Arial"/>
          <w:snapToGrid w:val="0"/>
          <w:color w:val="000000"/>
          <w:szCs w:val="24"/>
          <w:lang w:eastAsia="en-US"/>
        </w:rPr>
        <w:t xml:space="preserve">, </w:t>
      </w:r>
      <w:proofErr w:type="spellStart"/>
      <w:r>
        <w:rPr>
          <w:rFonts w:eastAsia="Calibri" w:cs="Arial"/>
          <w:snapToGrid w:val="0"/>
          <w:color w:val="000000"/>
          <w:szCs w:val="24"/>
          <w:lang w:eastAsia="en-US"/>
        </w:rPr>
        <w:t>Antonio</w:t>
      </w:r>
      <w:proofErr w:type="spellEnd"/>
      <w:r>
        <w:rPr>
          <w:rFonts w:eastAsia="Calibri" w:cs="Arial"/>
          <w:snapToGrid w:val="0"/>
          <w:color w:val="000000"/>
          <w:szCs w:val="24"/>
          <w:lang w:eastAsia="en-US"/>
        </w:rPr>
        <w:t xml:space="preserve"> Soares Gomes Filho e </w:t>
      </w:r>
      <w:proofErr w:type="spellStart"/>
      <w:r>
        <w:rPr>
          <w:rFonts w:eastAsia="Calibri" w:cs="Arial"/>
          <w:snapToGrid w:val="0"/>
          <w:color w:val="000000"/>
          <w:szCs w:val="24"/>
          <w:lang w:eastAsia="en-US"/>
        </w:rPr>
        <w:t>Aldemar</w:t>
      </w:r>
      <w:proofErr w:type="spellEnd"/>
      <w:r>
        <w:rPr>
          <w:rFonts w:eastAsia="Calibri" w:cs="Arial"/>
          <w:snapToGrid w:val="0"/>
          <w:color w:val="000000"/>
          <w:szCs w:val="24"/>
          <w:lang w:eastAsia="en-US"/>
        </w:rPr>
        <w:t xml:space="preserve"> Veiga Júnior</w:t>
      </w:r>
      <w:r w:rsidRPr="00B34367">
        <w:rPr>
          <w:rFonts w:eastAsia="Calibri" w:cs="Arial"/>
          <w:snapToGrid w:val="0"/>
          <w:color w:val="000000"/>
          <w:szCs w:val="24"/>
          <w:lang w:eastAsia="en-US"/>
        </w:rPr>
        <w:t>.</w:t>
      </w:r>
    </w:p>
    <w:sectPr w:rsidR="00B34367" w:rsidRPr="00B34367" w:rsidSect="00B3436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A5F" w:rsidRDefault="00787A5F">
      <w:r>
        <w:separator/>
      </w:r>
    </w:p>
  </w:endnote>
  <w:endnote w:type="continuationSeparator" w:id="0">
    <w:p w:rsidR="00787A5F" w:rsidRDefault="0078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367" w:rsidRDefault="00B34367" w:rsidP="00B34367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B34367" w:rsidRDefault="00B34367" w:rsidP="00B34367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B34367" w:rsidRDefault="00B34367" w:rsidP="00B34367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787A5F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1184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11843">
      <w:rPr>
        <w:rFonts w:cs="Arial"/>
        <w:b/>
        <w:sz w:val="18"/>
        <w:szCs w:val="18"/>
      </w:rPr>
      <w:fldChar w:fldCharType="separate"/>
    </w:r>
    <w:r w:rsidR="00B34367">
      <w:rPr>
        <w:rFonts w:cs="Arial"/>
        <w:b/>
        <w:noProof/>
        <w:sz w:val="18"/>
        <w:szCs w:val="18"/>
      </w:rPr>
      <w:t>1</w:t>
    </w:r>
    <w:r w:rsidR="0011184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fldSimple w:instr="NUMPAGES  \* Arabic  \* MERGEFORMAT">
      <w:r w:rsidR="00B34367" w:rsidRPr="00B34367">
        <w:rPr>
          <w:rFonts w:cs="Arial"/>
          <w:b/>
          <w:noProof/>
          <w:sz w:val="18"/>
          <w:szCs w:val="18"/>
        </w:rPr>
        <w:t>7</w:t>
      </w:r>
    </w:fldSimple>
  </w:p>
  <w:p w:rsidR="00686D66" w:rsidRDefault="00787A5F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RDefault="00787A5F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A5F" w:rsidRDefault="00787A5F" w:rsidP="00203FA5">
      <w:r>
        <w:separator/>
      </w:r>
    </w:p>
  </w:footnote>
  <w:footnote w:type="continuationSeparator" w:id="0">
    <w:p w:rsidR="00787A5F" w:rsidRDefault="00787A5F" w:rsidP="0020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367" w:rsidRPr="009019DC" w:rsidRDefault="00B34367" w:rsidP="00B34367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611716FF" wp14:editId="4DDA2EC5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46411841" wp14:editId="4A4C438A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5339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/2022</w:t>
    </w:r>
  </w:p>
  <w:p w:rsidR="00B34367" w:rsidRPr="00FC47D9" w:rsidRDefault="00B34367" w:rsidP="00B34367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B34367" w:rsidRPr="004420DB" w:rsidRDefault="00B34367" w:rsidP="00B34367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B34367" w:rsidRPr="008743E5" w:rsidRDefault="00B34367" w:rsidP="00B34367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B34367" w:rsidRPr="008743E5" w:rsidRDefault="00B34367" w:rsidP="00B34367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B34367" w:rsidRDefault="00B34367" w:rsidP="00B34367">
    <w:pPr>
      <w:pStyle w:val="Cabealho"/>
      <w:rPr>
        <w:rFonts w:ascii="Times New Roman" w:hAnsi="Times New Roman"/>
        <w:b/>
        <w:sz w:val="28"/>
        <w:szCs w:val="24"/>
      </w:rPr>
    </w:pPr>
  </w:p>
  <w:p w:rsidR="00B34367" w:rsidRDefault="00B34367" w:rsidP="00B34367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787A5F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04B63AB2" wp14:editId="5DF68386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896809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552082BF" wp14:editId="5B44B5C6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02135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RDefault="00787A5F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>Proc. Leg. nº 5339/2022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787A5F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787A5F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787A5F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213/2022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77963"/>
    <w:rsid w:val="000F7939"/>
    <w:rsid w:val="00103936"/>
    <w:rsid w:val="00111843"/>
    <w:rsid w:val="00154E6D"/>
    <w:rsid w:val="00166047"/>
    <w:rsid w:val="00187E11"/>
    <w:rsid w:val="001A68A6"/>
    <w:rsid w:val="001C7B4E"/>
    <w:rsid w:val="002014A9"/>
    <w:rsid w:val="00203FA5"/>
    <w:rsid w:val="00217624"/>
    <w:rsid w:val="00227418"/>
    <w:rsid w:val="002406D6"/>
    <w:rsid w:val="00261429"/>
    <w:rsid w:val="00265627"/>
    <w:rsid w:val="00286AE9"/>
    <w:rsid w:val="00286E70"/>
    <w:rsid w:val="002875F9"/>
    <w:rsid w:val="002B58CC"/>
    <w:rsid w:val="002D2BD9"/>
    <w:rsid w:val="002F0A6A"/>
    <w:rsid w:val="00346AD0"/>
    <w:rsid w:val="00375D3F"/>
    <w:rsid w:val="0038288C"/>
    <w:rsid w:val="0038519F"/>
    <w:rsid w:val="00391370"/>
    <w:rsid w:val="003B25A7"/>
    <w:rsid w:val="003D1127"/>
    <w:rsid w:val="003D6276"/>
    <w:rsid w:val="003F78E3"/>
    <w:rsid w:val="00400EAD"/>
    <w:rsid w:val="004040EF"/>
    <w:rsid w:val="00404FFF"/>
    <w:rsid w:val="004333B6"/>
    <w:rsid w:val="004420DB"/>
    <w:rsid w:val="00450741"/>
    <w:rsid w:val="00455FF4"/>
    <w:rsid w:val="0048266D"/>
    <w:rsid w:val="00485E28"/>
    <w:rsid w:val="00486790"/>
    <w:rsid w:val="00496A3E"/>
    <w:rsid w:val="00496B4E"/>
    <w:rsid w:val="004E3236"/>
    <w:rsid w:val="004E493C"/>
    <w:rsid w:val="00504CE4"/>
    <w:rsid w:val="0050542C"/>
    <w:rsid w:val="00515C6C"/>
    <w:rsid w:val="00534972"/>
    <w:rsid w:val="00540457"/>
    <w:rsid w:val="005408CC"/>
    <w:rsid w:val="00577379"/>
    <w:rsid w:val="005A6B5E"/>
    <w:rsid w:val="005C7621"/>
    <w:rsid w:val="00614A7E"/>
    <w:rsid w:val="00641FA8"/>
    <w:rsid w:val="006610EE"/>
    <w:rsid w:val="006650D5"/>
    <w:rsid w:val="006816B4"/>
    <w:rsid w:val="00686D66"/>
    <w:rsid w:val="0068721F"/>
    <w:rsid w:val="006A4063"/>
    <w:rsid w:val="006B7F6B"/>
    <w:rsid w:val="006E514D"/>
    <w:rsid w:val="006F5161"/>
    <w:rsid w:val="00720AA7"/>
    <w:rsid w:val="007229D9"/>
    <w:rsid w:val="007511D9"/>
    <w:rsid w:val="00755A62"/>
    <w:rsid w:val="007562CD"/>
    <w:rsid w:val="0077671C"/>
    <w:rsid w:val="007815F5"/>
    <w:rsid w:val="00783BE7"/>
    <w:rsid w:val="00787A5F"/>
    <w:rsid w:val="007E468E"/>
    <w:rsid w:val="007F0968"/>
    <w:rsid w:val="007F0A6C"/>
    <w:rsid w:val="00802901"/>
    <w:rsid w:val="0080458F"/>
    <w:rsid w:val="00812741"/>
    <w:rsid w:val="0081492F"/>
    <w:rsid w:val="008444BE"/>
    <w:rsid w:val="008743E5"/>
    <w:rsid w:val="008A04F8"/>
    <w:rsid w:val="008C13C4"/>
    <w:rsid w:val="008D641C"/>
    <w:rsid w:val="008D7E34"/>
    <w:rsid w:val="008F59CE"/>
    <w:rsid w:val="00900D15"/>
    <w:rsid w:val="00912224"/>
    <w:rsid w:val="0092098C"/>
    <w:rsid w:val="009426A2"/>
    <w:rsid w:val="00946FCF"/>
    <w:rsid w:val="009643C3"/>
    <w:rsid w:val="00982A5D"/>
    <w:rsid w:val="009A5AC5"/>
    <w:rsid w:val="009B0EE4"/>
    <w:rsid w:val="009B1E67"/>
    <w:rsid w:val="009C1E5B"/>
    <w:rsid w:val="00A04FF1"/>
    <w:rsid w:val="00A10FFA"/>
    <w:rsid w:val="00A2090C"/>
    <w:rsid w:val="00A762CA"/>
    <w:rsid w:val="00AC6D3B"/>
    <w:rsid w:val="00AC7DF9"/>
    <w:rsid w:val="00AD50A4"/>
    <w:rsid w:val="00AD66DB"/>
    <w:rsid w:val="00AE69C4"/>
    <w:rsid w:val="00B15A41"/>
    <w:rsid w:val="00B34367"/>
    <w:rsid w:val="00B35529"/>
    <w:rsid w:val="00B60505"/>
    <w:rsid w:val="00B710CD"/>
    <w:rsid w:val="00B75386"/>
    <w:rsid w:val="00B85830"/>
    <w:rsid w:val="00BA2827"/>
    <w:rsid w:val="00C121B6"/>
    <w:rsid w:val="00C1360D"/>
    <w:rsid w:val="00C27EF5"/>
    <w:rsid w:val="00C70097"/>
    <w:rsid w:val="00C70E55"/>
    <w:rsid w:val="00C71006"/>
    <w:rsid w:val="00C77262"/>
    <w:rsid w:val="00C87C73"/>
    <w:rsid w:val="00C97C54"/>
    <w:rsid w:val="00CB5727"/>
    <w:rsid w:val="00CD5241"/>
    <w:rsid w:val="00CE5346"/>
    <w:rsid w:val="00CF3EAC"/>
    <w:rsid w:val="00D450B1"/>
    <w:rsid w:val="00D5240E"/>
    <w:rsid w:val="00D75C75"/>
    <w:rsid w:val="00D768E0"/>
    <w:rsid w:val="00D86F54"/>
    <w:rsid w:val="00DF6246"/>
    <w:rsid w:val="00E205BF"/>
    <w:rsid w:val="00E22387"/>
    <w:rsid w:val="00E37567"/>
    <w:rsid w:val="00E52E70"/>
    <w:rsid w:val="00E76E47"/>
    <w:rsid w:val="00E9372C"/>
    <w:rsid w:val="00EB6070"/>
    <w:rsid w:val="00ED3AE2"/>
    <w:rsid w:val="00EE24A7"/>
    <w:rsid w:val="00EE3406"/>
    <w:rsid w:val="00F058AD"/>
    <w:rsid w:val="00F16789"/>
    <w:rsid w:val="00F30990"/>
    <w:rsid w:val="00F31585"/>
    <w:rsid w:val="00F3735D"/>
    <w:rsid w:val="00F4256C"/>
    <w:rsid w:val="00F533ED"/>
    <w:rsid w:val="00F673B3"/>
    <w:rsid w:val="00F76EAB"/>
    <w:rsid w:val="00F956A1"/>
    <w:rsid w:val="00FB4D9A"/>
    <w:rsid w:val="00FC47D9"/>
    <w:rsid w:val="00FE36ED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1492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1492F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1492F"/>
    <w:rPr>
      <w:rFonts w:ascii="Arial" w:eastAsia="Times New Roman" w:hAnsi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149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1492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1492F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1492F"/>
    <w:rPr>
      <w:rFonts w:ascii="Arial" w:eastAsia="Times New Roman" w:hAnsi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149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639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5</cp:revision>
  <cp:lastPrinted>2022-10-24T19:38:00Z</cp:lastPrinted>
  <dcterms:created xsi:type="dcterms:W3CDTF">2022-10-24T19:08:00Z</dcterms:created>
  <dcterms:modified xsi:type="dcterms:W3CDTF">2022-12-14T14:13:00Z</dcterms:modified>
</cp:coreProperties>
</file>