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1310F4" w:rsidP="00A779B8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1310F4">
        <w:rPr>
          <w:rFonts w:asciiTheme="minorHAnsi" w:hAnsiTheme="minorHAnsi" w:cstheme="minorHAnsi"/>
          <w:b/>
          <w:color w:val="auto"/>
        </w:rPr>
        <w:t>Parecer Jurídico nº</w:t>
      </w:r>
      <w:r w:rsidRPr="001310F4" w:rsidR="00F50ADA">
        <w:rPr>
          <w:rFonts w:asciiTheme="minorHAnsi" w:hAnsiTheme="minorHAnsi" w:cstheme="minorHAnsi"/>
          <w:b/>
          <w:color w:val="auto"/>
        </w:rPr>
        <w:t xml:space="preserve"> </w:t>
      </w:r>
      <w:r w:rsidR="00AE3E50">
        <w:rPr>
          <w:rFonts w:asciiTheme="minorHAnsi" w:hAnsiTheme="minorHAnsi" w:cstheme="minorHAnsi"/>
          <w:b/>
          <w:color w:val="auto"/>
        </w:rPr>
        <w:t>409</w:t>
      </w:r>
      <w:r w:rsidRPr="001310F4">
        <w:rPr>
          <w:rFonts w:asciiTheme="minorHAnsi" w:hAnsiTheme="minorHAnsi" w:cstheme="minorHAnsi"/>
          <w:b/>
          <w:color w:val="auto"/>
        </w:rPr>
        <w:t>/2022.</w:t>
      </w:r>
    </w:p>
    <w:p w:rsidR="000B212E" w:rsidRPr="001310F4" w:rsidP="0023693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10F4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1310F4" w:rsidR="00942B8B">
        <w:rPr>
          <w:rFonts w:asciiTheme="minorHAnsi" w:hAnsiTheme="minorHAnsi" w:cstheme="minorHAnsi"/>
          <w:b/>
          <w:bCs/>
          <w:szCs w:val="24"/>
        </w:rPr>
        <w:t>Emenda 0</w:t>
      </w:r>
      <w:r w:rsidR="00AE3E50">
        <w:rPr>
          <w:rFonts w:asciiTheme="minorHAnsi" w:hAnsiTheme="minorHAnsi" w:cstheme="minorHAnsi"/>
          <w:b/>
          <w:bCs/>
          <w:szCs w:val="24"/>
        </w:rPr>
        <w:t>2</w:t>
      </w:r>
      <w:r w:rsidRPr="001310F4">
        <w:rPr>
          <w:rFonts w:asciiTheme="minorHAnsi" w:hAnsiTheme="minorHAnsi" w:cstheme="minorHAnsi"/>
          <w:b/>
          <w:bCs/>
          <w:szCs w:val="24"/>
        </w:rPr>
        <w:t xml:space="preserve"> ao</w:t>
      </w:r>
      <w:r w:rsidRPr="001310F4" w:rsidR="00FC140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310F4" w:rsidR="00FC140B">
        <w:rPr>
          <w:rFonts w:asciiTheme="minorHAnsi" w:hAnsiTheme="minorHAnsi" w:cstheme="minorHAnsi"/>
          <w:b/>
          <w:bCs/>
        </w:rPr>
        <w:t xml:space="preserve">Projeto de Lei nº </w:t>
      </w:r>
      <w:r w:rsidRPr="001310F4" w:rsidR="001F0850">
        <w:rPr>
          <w:rFonts w:asciiTheme="minorHAnsi" w:hAnsiTheme="minorHAnsi" w:cstheme="minorHAnsi"/>
          <w:b/>
          <w:bCs/>
        </w:rPr>
        <w:t>8</w:t>
      </w:r>
      <w:r w:rsidRPr="001310F4" w:rsidR="008E7095">
        <w:rPr>
          <w:rFonts w:asciiTheme="minorHAnsi" w:hAnsiTheme="minorHAnsi" w:cstheme="minorHAnsi"/>
          <w:b/>
          <w:bCs/>
        </w:rPr>
        <w:t>4/</w:t>
      </w:r>
      <w:r w:rsidRPr="001310F4" w:rsidR="001604ED">
        <w:rPr>
          <w:rFonts w:asciiTheme="minorHAnsi" w:hAnsiTheme="minorHAnsi" w:cstheme="minorHAnsi"/>
          <w:b/>
          <w:bCs/>
        </w:rPr>
        <w:t>2022</w:t>
      </w:r>
      <w:r w:rsidRPr="001310F4" w:rsidR="0023693B">
        <w:rPr>
          <w:rFonts w:asciiTheme="minorHAnsi" w:hAnsiTheme="minorHAnsi" w:cstheme="minorHAnsi"/>
          <w:b/>
          <w:bCs/>
        </w:rPr>
        <w:t xml:space="preserve"> </w:t>
      </w:r>
      <w:r w:rsidRPr="001310F4" w:rsidR="0023693B">
        <w:rPr>
          <w:rFonts w:asciiTheme="minorHAnsi" w:hAnsiTheme="minorHAnsi" w:cstheme="minorHAnsi"/>
          <w:bCs/>
        </w:rPr>
        <w:t xml:space="preserve">que </w:t>
      </w:r>
      <w:r w:rsidRPr="001310F4" w:rsidR="008E7095">
        <w:rPr>
          <w:rFonts w:asciiTheme="minorHAnsi" w:hAnsiTheme="minorHAnsi" w:cstheme="minorHAnsi"/>
        </w:rPr>
        <w:t>“</w:t>
      </w:r>
      <w:r w:rsidRPr="001310F4">
        <w:rPr>
          <w:rFonts w:asciiTheme="minorHAnsi" w:hAnsiTheme="minorHAnsi" w:cstheme="minorHAnsi"/>
        </w:rPr>
        <w:t>Dispõe sobre a Lei do Silêncio no Município de Valinhos, e dá outras providências”.</w:t>
      </w:r>
    </w:p>
    <w:p w:rsidR="00A779B8" w:rsidRPr="001310F4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1310F4">
        <w:rPr>
          <w:rFonts w:asciiTheme="minorHAnsi" w:hAnsiTheme="minorHAnsi" w:cstheme="minorHAnsi"/>
          <w:b/>
          <w:bCs/>
        </w:rPr>
        <w:t>Emenda de a</w:t>
      </w:r>
      <w:r w:rsidRPr="001310F4" w:rsidR="0023693B">
        <w:rPr>
          <w:rFonts w:asciiTheme="minorHAnsi" w:hAnsiTheme="minorHAnsi" w:cstheme="minorHAnsi"/>
          <w:b/>
          <w:bCs/>
          <w:szCs w:val="24"/>
        </w:rPr>
        <w:t xml:space="preserve">utoria do </w:t>
      </w:r>
      <w:r w:rsidRPr="001310F4" w:rsidR="009A1374">
        <w:rPr>
          <w:rFonts w:asciiTheme="minorHAnsi" w:hAnsiTheme="minorHAnsi" w:cstheme="minorHAnsi"/>
          <w:b/>
          <w:bCs/>
          <w:szCs w:val="24"/>
        </w:rPr>
        <w:t>Vereador</w:t>
      </w:r>
      <w:r w:rsidRPr="001310F4" w:rsidR="000B212E">
        <w:rPr>
          <w:rFonts w:asciiTheme="minorHAnsi" w:hAnsiTheme="minorHAnsi" w:cstheme="minorHAnsi"/>
          <w:b/>
          <w:bCs/>
          <w:szCs w:val="24"/>
        </w:rPr>
        <w:t xml:space="preserve"> Fábio Damasceno</w:t>
      </w:r>
    </w:p>
    <w:p w:rsidR="0001147D" w:rsidRPr="001310F4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01147D" w:rsidRPr="001310F4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9A1374" w:rsidRPr="001310F4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A779B8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310F4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A779B8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310F4">
        <w:rPr>
          <w:rFonts w:asciiTheme="minorHAnsi" w:hAnsiTheme="minorHAnsi" w:cstheme="minorHAnsi"/>
          <w:b/>
          <w:i/>
          <w:color w:val="auto"/>
        </w:rPr>
        <w:t>Exmo. Presidente Sidmar Rodrigo Toloi.</w:t>
      </w:r>
    </w:p>
    <w:p w:rsidR="00A779B8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9A1374" w:rsidRPr="001310F4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310F4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E7095" w:rsidRPr="001310F4" w:rsidP="001B1994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310F4">
        <w:rPr>
          <w:rFonts w:asciiTheme="minorHAnsi" w:hAnsiTheme="minorHAnsi" w:cstheme="minorHAnsi"/>
          <w:color w:val="auto"/>
        </w:rPr>
        <w:t>Trata-se de parecer jurídico relativo à emenda em epígrafe que</w:t>
      </w:r>
      <w:r w:rsidRPr="001310F4" w:rsidR="0023693B">
        <w:rPr>
          <w:rFonts w:asciiTheme="minorHAnsi" w:hAnsiTheme="minorHAnsi" w:cstheme="minorHAnsi"/>
          <w:color w:val="auto"/>
        </w:rPr>
        <w:t xml:space="preserve"> </w:t>
      </w:r>
      <w:r w:rsidRPr="001310F4" w:rsidR="009A1374">
        <w:rPr>
          <w:rFonts w:asciiTheme="minorHAnsi" w:hAnsiTheme="minorHAnsi" w:cstheme="minorHAnsi"/>
          <w:color w:val="auto"/>
        </w:rPr>
        <w:t xml:space="preserve">visa </w:t>
      </w:r>
      <w:r w:rsidR="00AE3E50">
        <w:rPr>
          <w:rFonts w:asciiTheme="minorHAnsi" w:hAnsiTheme="minorHAnsi" w:cstheme="minorHAnsi"/>
          <w:color w:val="auto"/>
        </w:rPr>
        <w:t xml:space="preserve">alterar os </w:t>
      </w:r>
      <w:r w:rsidRPr="001310F4" w:rsidR="001F0850">
        <w:rPr>
          <w:rFonts w:asciiTheme="minorHAnsi" w:hAnsiTheme="minorHAnsi" w:cstheme="minorHAnsi"/>
          <w:color w:val="auto"/>
        </w:rPr>
        <w:t>inciso</w:t>
      </w:r>
      <w:r w:rsidR="00AE3E50">
        <w:rPr>
          <w:rFonts w:asciiTheme="minorHAnsi" w:hAnsiTheme="minorHAnsi" w:cstheme="minorHAnsi"/>
          <w:color w:val="auto"/>
        </w:rPr>
        <w:t>s</w:t>
      </w:r>
      <w:r w:rsidRPr="001310F4" w:rsidR="001F0850">
        <w:rPr>
          <w:rFonts w:asciiTheme="minorHAnsi" w:hAnsiTheme="minorHAnsi" w:cstheme="minorHAnsi"/>
          <w:color w:val="auto"/>
        </w:rPr>
        <w:t xml:space="preserve"> I</w:t>
      </w:r>
      <w:r w:rsidR="00AE3E50">
        <w:rPr>
          <w:rFonts w:asciiTheme="minorHAnsi" w:hAnsiTheme="minorHAnsi" w:cstheme="minorHAnsi"/>
          <w:color w:val="auto"/>
        </w:rPr>
        <w:t xml:space="preserve"> e II do art. 3º d</w:t>
      </w:r>
      <w:r w:rsidRPr="001310F4" w:rsidR="001F0850">
        <w:rPr>
          <w:rFonts w:asciiTheme="minorHAnsi" w:hAnsiTheme="minorHAnsi" w:cstheme="minorHAnsi"/>
          <w:color w:val="auto"/>
        </w:rPr>
        <w:t xml:space="preserve">o </w:t>
      </w:r>
      <w:r w:rsidRPr="001310F4" w:rsidR="000B212E">
        <w:rPr>
          <w:rFonts w:asciiTheme="minorHAnsi" w:hAnsiTheme="minorHAnsi" w:cstheme="minorHAnsi"/>
          <w:color w:val="auto"/>
        </w:rPr>
        <w:t>Projeto de Lei nº 84/2022, que “Dispõe sobre a Lei do Silêncio no Município de Valinhos, e dá outras providências”</w:t>
      </w:r>
      <w:r w:rsidRPr="001310F4" w:rsidR="001B1994">
        <w:rPr>
          <w:rFonts w:asciiTheme="minorHAnsi" w:hAnsiTheme="minorHAnsi" w:cstheme="minorHAnsi"/>
          <w:color w:val="auto"/>
        </w:rPr>
        <w:t xml:space="preserve">, </w:t>
      </w:r>
      <w:r w:rsidRPr="001310F4">
        <w:rPr>
          <w:rFonts w:asciiTheme="minorHAnsi" w:hAnsiTheme="minorHAnsi" w:cstheme="minorHAnsi"/>
          <w:color w:val="auto"/>
        </w:rPr>
        <w:t>nos seguintes termos:</w:t>
      </w:r>
    </w:p>
    <w:tbl>
      <w:tblPr>
        <w:tblStyle w:val="TableGrid"/>
        <w:tblW w:w="8789" w:type="dxa"/>
        <w:tblInd w:w="-176" w:type="dxa"/>
        <w:tblLayout w:type="fixed"/>
        <w:tblLook w:val="04A0"/>
      </w:tblPr>
      <w:tblGrid>
        <w:gridCol w:w="4253"/>
        <w:gridCol w:w="4536"/>
      </w:tblGrid>
      <w:tr w:rsidTr="000C1B0D">
        <w:tblPrEx>
          <w:tblW w:w="8789" w:type="dxa"/>
          <w:tblInd w:w="-176" w:type="dxa"/>
          <w:tblLayout w:type="fixed"/>
          <w:tblLook w:val="04A0"/>
        </w:tblPrEx>
        <w:tc>
          <w:tcPr>
            <w:tcW w:w="4253" w:type="dxa"/>
          </w:tcPr>
          <w:p w:rsidR="008E7095" w:rsidRPr="001310F4" w:rsidP="008B72D2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10F4">
              <w:rPr>
                <w:rFonts w:asciiTheme="minorHAnsi" w:hAnsiTheme="minorHAnsi" w:cstheme="minorHAnsi"/>
                <w:b/>
                <w:szCs w:val="24"/>
              </w:rPr>
              <w:t>Projeto de Lei 8</w:t>
            </w:r>
            <w:r w:rsidRPr="001310F4" w:rsidR="008B72D2">
              <w:rPr>
                <w:rFonts w:asciiTheme="minorHAnsi" w:hAnsiTheme="minorHAnsi" w:cstheme="minorHAnsi"/>
                <w:b/>
                <w:szCs w:val="24"/>
              </w:rPr>
              <w:t>4/2022</w:t>
            </w:r>
          </w:p>
        </w:tc>
        <w:tc>
          <w:tcPr>
            <w:tcW w:w="4536" w:type="dxa"/>
          </w:tcPr>
          <w:p w:rsidR="008E7095" w:rsidRPr="001310F4" w:rsidP="00AE3E50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10F4">
              <w:rPr>
                <w:rFonts w:asciiTheme="minorHAnsi" w:hAnsiTheme="minorHAnsi" w:cstheme="minorHAnsi"/>
                <w:b/>
                <w:szCs w:val="24"/>
              </w:rPr>
              <w:t xml:space="preserve">Redação proposta na </w:t>
            </w:r>
            <w:r w:rsidRPr="001310F4" w:rsidR="008B72D2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1310F4">
              <w:rPr>
                <w:rFonts w:asciiTheme="minorHAnsi" w:hAnsiTheme="minorHAnsi" w:cstheme="minorHAnsi"/>
                <w:b/>
                <w:szCs w:val="24"/>
              </w:rPr>
              <w:t>menda 0</w:t>
            </w:r>
            <w:r w:rsidR="00AE3E50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  <w:tr w:rsidTr="00194046">
        <w:tblPrEx>
          <w:tblW w:w="8789" w:type="dxa"/>
          <w:tblInd w:w="-176" w:type="dxa"/>
          <w:tblLayout w:type="fixed"/>
          <w:tblLook w:val="04A0"/>
        </w:tblPrEx>
        <w:trPr>
          <w:trHeight w:val="1430"/>
        </w:trPr>
        <w:tc>
          <w:tcPr>
            <w:tcW w:w="4253" w:type="dxa"/>
          </w:tcPr>
          <w:p w:rsidR="00FC3E2A" w:rsidRPr="001310F4" w:rsidP="00FC3E2A">
            <w:pPr>
              <w:tabs>
                <w:tab w:val="left" w:pos="2835"/>
              </w:tabs>
              <w:spacing w:line="276" w:lineRule="auto"/>
              <w:jc w:val="both"/>
              <w:rPr>
                <w:rStyle w:val="normas-indices-artigo"/>
                <w:rFonts w:asciiTheme="minorHAnsi" w:hAnsiTheme="minorHAnsi" w:cstheme="minorHAnsi"/>
                <w:b/>
                <w:color w:val="333333"/>
                <w:szCs w:val="24"/>
              </w:rPr>
            </w:pPr>
          </w:p>
          <w:p w:rsidR="00C93F4A" w:rsidP="00186288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93F4A" w:rsidP="00186288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93F4A" w:rsidP="00186288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DD7576" w:rsidRPr="00186288" w:rsidP="00C93F4A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93F4A">
              <w:rPr>
                <w:rFonts w:asciiTheme="minorHAnsi" w:hAnsiTheme="minorHAnsi" w:cstheme="minorHAnsi"/>
                <w:b/>
                <w:i/>
                <w:szCs w:val="24"/>
              </w:rPr>
              <w:t>Art. 3°</w:t>
            </w:r>
            <w:r w:rsidRPr="00186288">
              <w:rPr>
                <w:rFonts w:asciiTheme="minorHAnsi" w:hAnsiTheme="minorHAnsi" w:cstheme="minorHAnsi"/>
                <w:i/>
                <w:szCs w:val="24"/>
              </w:rPr>
              <w:t xml:space="preserve"> P</w:t>
            </w:r>
            <w:r w:rsidR="004962FD">
              <w:rPr>
                <w:rFonts w:asciiTheme="minorHAnsi" w:hAnsiTheme="minorHAnsi" w:cstheme="minorHAnsi"/>
                <w:i/>
                <w:szCs w:val="24"/>
              </w:rPr>
              <w:t>ara fins de aplicação desta Lei</w:t>
            </w:r>
            <w:r w:rsidRPr="00186288">
              <w:rPr>
                <w:rFonts w:asciiTheme="minorHAnsi" w:hAnsiTheme="minorHAnsi" w:cstheme="minorHAnsi"/>
                <w:i/>
                <w:szCs w:val="24"/>
              </w:rPr>
              <w:t xml:space="preserve"> ficam definidos os seguintes critérios:</w:t>
            </w:r>
          </w:p>
          <w:p w:rsidR="00DD7576" w:rsidRPr="00186288" w:rsidP="00C93F4A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I - </w:t>
            </w:r>
            <w:r w:rsidRPr="00186288">
              <w:rPr>
                <w:rFonts w:asciiTheme="minorHAnsi" w:hAnsiTheme="minorHAnsi" w:cstheme="minorHAnsi"/>
                <w:i/>
                <w:szCs w:val="24"/>
              </w:rPr>
              <w:t xml:space="preserve">período diurno: das </w:t>
            </w:r>
            <w:r w:rsidRPr="00C93F4A">
              <w:rPr>
                <w:rFonts w:asciiTheme="minorHAnsi" w:hAnsiTheme="minorHAnsi" w:cstheme="minorHAnsi"/>
                <w:b/>
                <w:i/>
                <w:szCs w:val="24"/>
              </w:rPr>
              <w:t>6h às 18h;</w:t>
            </w:r>
          </w:p>
          <w:p w:rsidR="00194046" w:rsidRPr="001310F4" w:rsidP="00C93F4A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II - </w:t>
            </w:r>
            <w:r w:rsidRPr="00186288" w:rsidR="00DD7576">
              <w:rPr>
                <w:rFonts w:asciiTheme="minorHAnsi" w:hAnsiTheme="minorHAnsi" w:cstheme="minorHAnsi"/>
                <w:i/>
                <w:szCs w:val="24"/>
              </w:rPr>
              <w:t xml:space="preserve">período noturno: das </w:t>
            </w:r>
            <w:r w:rsidRPr="00C93F4A" w:rsidR="00DD7576">
              <w:rPr>
                <w:rFonts w:asciiTheme="minorHAnsi" w:hAnsiTheme="minorHAnsi" w:cstheme="minorHAnsi"/>
                <w:b/>
                <w:i/>
                <w:szCs w:val="24"/>
              </w:rPr>
              <w:t>18h às 6h;</w:t>
            </w:r>
          </w:p>
        </w:tc>
        <w:tc>
          <w:tcPr>
            <w:tcW w:w="4536" w:type="dxa"/>
          </w:tcPr>
          <w:p w:rsidR="00194046" w:rsidRPr="00AE3E50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AE3E50" w:rsidRPr="000869B4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szCs w:val="24"/>
              </w:rPr>
            </w:pPr>
            <w:r w:rsidRPr="000869B4">
              <w:rPr>
                <w:rFonts w:asciiTheme="minorHAnsi" w:hAnsiTheme="minorHAnsi" w:cstheme="minorHAnsi"/>
                <w:szCs w:val="24"/>
              </w:rPr>
              <w:t xml:space="preserve">Art. 1º. - O art. 3°, inciso I e II passa a ter a seguinte redação: </w:t>
            </w:r>
          </w:p>
          <w:p w:rsidR="00AE3E50" w:rsidRPr="000869B4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:rsidR="00AE3E50" w:rsidRPr="000E3ADD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0E3ADD">
              <w:rPr>
                <w:rFonts w:asciiTheme="minorHAnsi" w:hAnsiTheme="minorHAnsi" w:cstheme="minorHAnsi"/>
                <w:b/>
                <w:i/>
              </w:rPr>
              <w:t>Art. 3°</w:t>
            </w:r>
            <w:r w:rsidRPr="000E3ADD">
              <w:rPr>
                <w:rFonts w:asciiTheme="minorHAnsi" w:hAnsiTheme="minorHAnsi" w:cstheme="minorHAnsi"/>
                <w:i/>
                <w:szCs w:val="24"/>
              </w:rPr>
              <w:t xml:space="preserve"> Para </w:t>
            </w:r>
            <w:bookmarkStart w:id="0" w:name="_GoBack"/>
            <w:bookmarkEnd w:id="0"/>
            <w:r w:rsidRPr="000E3ADD">
              <w:rPr>
                <w:rFonts w:asciiTheme="minorHAnsi" w:hAnsiTheme="minorHAnsi" w:cstheme="minorHAnsi"/>
                <w:i/>
                <w:szCs w:val="24"/>
              </w:rPr>
              <w:t xml:space="preserve">fins de aplicação desta Lei ficam definidos os seguintes critérios: </w:t>
            </w:r>
          </w:p>
          <w:p w:rsidR="00AE3E50" w:rsidRPr="000E3ADD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0E3ADD">
              <w:rPr>
                <w:rFonts w:asciiTheme="minorHAnsi" w:hAnsiTheme="minorHAnsi" w:cstheme="minorHAnsi"/>
                <w:i/>
                <w:szCs w:val="24"/>
              </w:rPr>
              <w:t xml:space="preserve">I - período diurno: das </w:t>
            </w:r>
            <w:r w:rsidRPr="00186288">
              <w:rPr>
                <w:rFonts w:asciiTheme="minorHAnsi" w:hAnsiTheme="minorHAnsi" w:cstheme="minorHAnsi"/>
                <w:b/>
                <w:i/>
                <w:szCs w:val="24"/>
              </w:rPr>
              <w:t>7h às 22h.</w:t>
            </w:r>
          </w:p>
          <w:p w:rsidR="00194046" w:rsidRPr="00186288" w:rsidP="00C93F4A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E3ADD">
              <w:rPr>
                <w:rFonts w:asciiTheme="minorHAnsi" w:hAnsiTheme="minorHAnsi" w:cstheme="minorHAnsi"/>
                <w:i/>
                <w:szCs w:val="24"/>
              </w:rPr>
              <w:t xml:space="preserve">II - período noturno: das </w:t>
            </w:r>
            <w:r w:rsidRPr="00186288">
              <w:rPr>
                <w:rFonts w:asciiTheme="minorHAnsi" w:hAnsiTheme="minorHAnsi" w:cstheme="minorHAnsi"/>
                <w:b/>
                <w:i/>
                <w:szCs w:val="24"/>
              </w:rPr>
              <w:t>22h às 7h.</w:t>
            </w:r>
          </w:p>
        </w:tc>
      </w:tr>
    </w:tbl>
    <w:p w:rsidR="009A1374" w:rsidRPr="00336844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A779B8" w:rsidRPr="001310F4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310F4">
        <w:rPr>
          <w:rFonts w:asciiTheme="minorHAnsi" w:hAnsiTheme="minorHAnsi" w:cstheme="minorHAnsi"/>
          <w:i/>
        </w:rPr>
        <w:t>Ab initio</w:t>
      </w:r>
      <w:r w:rsidRPr="001310F4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1310F4" w:rsidP="000D7927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310F4">
        <w:rPr>
          <w:rFonts w:asciiTheme="minorHAnsi" w:hAnsiTheme="minorHAnsi" w:cstheme="minorHAnsi"/>
          <w:szCs w:val="24"/>
        </w:rPr>
        <w:t>Outrossim</w:t>
      </w:r>
      <w:r w:rsidRPr="001310F4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310F4">
        <w:rPr>
          <w:rFonts w:asciiTheme="minorHAnsi" w:hAnsiTheme="minorHAnsi" w:cstheme="minorHAnsi"/>
          <w:b/>
          <w:szCs w:val="24"/>
        </w:rPr>
        <w:t>não tem força vinculante,</w:t>
      </w:r>
      <w:r w:rsidRPr="001310F4">
        <w:rPr>
          <w:rFonts w:asciiTheme="minorHAnsi" w:hAnsiTheme="minorHAnsi" w:cstheme="minorHAnsi"/>
          <w:szCs w:val="24"/>
        </w:rPr>
        <w:t xml:space="preserve"> sendo meramente opinativo não fundamentando </w:t>
      </w:r>
      <w:r w:rsidRPr="001310F4">
        <w:rPr>
          <w:rFonts w:asciiTheme="minorHAnsi" w:hAnsiTheme="minorHAnsi" w:cstheme="minorHAnsi"/>
          <w:szCs w:val="24"/>
        </w:rPr>
        <w:t>decisão proferida pelas Comissões e/ou nobres vereadores.</w:t>
      </w:r>
      <w:r w:rsidR="000D7927">
        <w:rPr>
          <w:rFonts w:asciiTheme="minorHAnsi" w:hAnsiTheme="minorHAnsi" w:cstheme="minorHAnsi"/>
          <w:szCs w:val="24"/>
        </w:rPr>
        <w:t xml:space="preserve"> </w:t>
      </w:r>
      <w:r w:rsidRPr="001310F4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1310F4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310F4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310F4">
        <w:rPr>
          <w:rFonts w:asciiTheme="minorHAnsi" w:hAnsiTheme="minorHAnsi" w:cstheme="minorHAnsi"/>
          <w:i/>
          <w:sz w:val="22"/>
          <w:szCs w:val="22"/>
        </w:rPr>
        <w:t>ex</w:t>
      </w:r>
      <w:r w:rsidRPr="001310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310F4">
        <w:rPr>
          <w:rFonts w:asciiTheme="minorHAnsi" w:hAnsiTheme="minorHAnsi" w:cstheme="minorHAnsi"/>
          <w:i/>
          <w:sz w:val="22"/>
          <w:szCs w:val="22"/>
        </w:rPr>
        <w:t>oficio</w:t>
      </w:r>
      <w:r w:rsidRPr="001310F4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1310F4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1310F4">
        <w:rPr>
          <w:rFonts w:eastAsia="Calibri" w:asciiTheme="minorHAnsi" w:hAnsiTheme="minorHAnsi" w:cstheme="minorHAnsi"/>
          <w:color w:val="000000"/>
          <w:szCs w:val="24"/>
        </w:rPr>
        <w:t>Desta feita, considerando os aspectos jurídicos</w:t>
      </w:r>
      <w:r w:rsidRPr="001310F4" w:rsidR="001604ED">
        <w:rPr>
          <w:rFonts w:eastAsia="Calibri" w:asciiTheme="minorHAnsi" w:hAnsiTheme="minorHAnsi" w:cstheme="minorHAnsi"/>
          <w:color w:val="000000"/>
          <w:szCs w:val="24"/>
        </w:rPr>
        <w:t xml:space="preserve"> passamos para</w:t>
      </w:r>
      <w:r w:rsidRPr="001310F4">
        <w:rPr>
          <w:rFonts w:eastAsia="Calibri" w:asciiTheme="minorHAnsi" w:hAnsiTheme="minorHAnsi" w:cstheme="minorHAnsi"/>
          <w:color w:val="000000"/>
          <w:szCs w:val="24"/>
        </w:rPr>
        <w:t xml:space="preserve"> análise técnica do projeto em epígrafe solicitado.</w:t>
      </w:r>
    </w:p>
    <w:p w:rsidR="00A779B8" w:rsidRPr="001310F4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310F4">
        <w:rPr>
          <w:rFonts w:asciiTheme="minorHAnsi" w:hAnsiTheme="minorHAnsi" w:cstheme="minorHAnsi"/>
          <w:szCs w:val="24"/>
        </w:rPr>
        <w:t>No que tange aos projetos de emendas o Regimento Interno desta Casa de Leis assim estabelece: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140. 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Emenda é a correção apresentada a um dispositivo de projeto de lei ou de resolução.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141. 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1º. O autor do projeto que receber substitutivo ou 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>emenda estranhos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310F4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E86B5F" w:rsidP="00C669D7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310F4">
        <w:rPr>
          <w:rFonts w:asciiTheme="minorHAnsi" w:hAnsiTheme="minorHAnsi" w:cstheme="minorHAnsi"/>
          <w:szCs w:val="24"/>
        </w:rPr>
        <w:t xml:space="preserve">Destarte, verifica-se que o projeto de emenda atende aos dispositivos do Regimento Interno da Câmara, </w:t>
      </w:r>
      <w:r w:rsidRPr="001310F4">
        <w:rPr>
          <w:rFonts w:asciiTheme="minorHAnsi" w:eastAsiaTheme="minorHAnsi" w:hAnsiTheme="minorHAnsi" w:cstheme="minorHAnsi"/>
          <w:bCs/>
          <w:lang w:eastAsia="en-US"/>
        </w:rPr>
        <w:t>tratando-se de emenda que tem relação direta com a matéria da proposição principal,</w:t>
      </w:r>
      <w:r w:rsidRPr="001310F4">
        <w:rPr>
          <w:rFonts w:asciiTheme="minorHAnsi" w:hAnsiTheme="minorHAnsi" w:cstheme="minorHAnsi"/>
        </w:rPr>
        <w:t xml:space="preserve"> não havendo óbice na sua tramitação.</w:t>
      </w:r>
      <w:r w:rsidR="001310F4">
        <w:rPr>
          <w:rFonts w:asciiTheme="minorHAnsi" w:hAnsiTheme="minorHAnsi" w:cstheme="minorHAnsi"/>
        </w:rPr>
        <w:t xml:space="preserve"> </w:t>
      </w:r>
    </w:p>
    <w:p w:rsidR="001310F4" w:rsidP="001310F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</w:rPr>
        <w:t>Quanto à matéria reiteramos o Parecer Jurídico nº 154/2022</w:t>
      </w:r>
      <w:r w:rsidR="00ED0C79">
        <w:rPr>
          <w:rFonts w:asciiTheme="minorHAnsi" w:hAnsiTheme="minorHAnsi" w:cstheme="minorHAnsi"/>
        </w:rPr>
        <w:t>, atinente ao Projeto de Lei 84/2022,</w:t>
      </w:r>
      <w:r>
        <w:rPr>
          <w:rFonts w:asciiTheme="minorHAnsi" w:hAnsiTheme="minorHAnsi" w:cstheme="minorHAnsi"/>
        </w:rPr>
        <w:t xml:space="preserve"> que concluiu pela </w:t>
      </w:r>
      <w:r w:rsidRPr="001310F4">
        <w:rPr>
          <w:rFonts w:asciiTheme="minorHAnsi" w:hAnsiTheme="minorHAnsi" w:cstheme="minorHAnsi"/>
          <w:b/>
        </w:rPr>
        <w:t>competência suplementar do município</w:t>
      </w:r>
      <w:r>
        <w:rPr>
          <w:rFonts w:asciiTheme="minorHAnsi" w:hAnsiTheme="minorHAnsi" w:cstheme="minorHAnsi"/>
        </w:rPr>
        <w:t xml:space="preserve"> </w:t>
      </w:r>
      <w:r w:rsidRPr="001310F4" w:rsidR="00A94ED0">
        <w:rPr>
          <w:rFonts w:asciiTheme="minorHAnsi" w:hAnsiTheme="minorHAnsi" w:cstheme="minorHAnsi"/>
          <w:b/>
          <w:szCs w:val="24"/>
        </w:rPr>
        <w:t>para legislar sobre</w:t>
      </w:r>
      <w:r w:rsidRPr="001310F4" w:rsidR="00A94ED0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 xml:space="preserve"> a proteção do meio ambiente</w:t>
      </w:r>
      <w:r w:rsidRPr="00CD726F" w:rsidR="00A94ED0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, controle da poluição e defesa da saúde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:rsidR="00A94ED0" w:rsidRPr="001310F4" w:rsidP="001310F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color w:val="000000"/>
          <w:szCs w:val="24"/>
        </w:rPr>
      </w:pPr>
      <w:r w:rsidRPr="001310F4">
        <w:rPr>
          <w:rFonts w:asciiTheme="minorHAnsi" w:hAnsiTheme="minorHAnsi" w:cstheme="minorHAnsi"/>
          <w:color w:val="000000"/>
          <w:szCs w:val="24"/>
        </w:rPr>
        <w:t>Nesse sentido colacionamos entendimento do Tribunal de Justiça do Estado de São Paulo:</w:t>
      </w:r>
    </w:p>
    <w:p w:rsidR="001310F4" w:rsidP="001310F4">
      <w:pPr>
        <w:pStyle w:val="BodyText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1310F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DIRETA DE INCONSTITUCIONALIDADE – LEI 10.343/2020, DO MUNICÍPIO DE SANTO ANDRÉ QUE "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INSTITUIU NO MUNICÍPIO DE SANTO ANDRÉ O "PROJETO ANTIPANCADÃO" QUE PROÍBE A EMISSÃO DE RUÍDOS SONOROS CONSIDERADOS DE ALTO NÍVEL PROVENIENTES DE APARELHOS DE SOM PORTÁTEIS OU INSTALADOS EM VEÍCULOS AUTOMOTORES" 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- 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shd w:val="clear" w:color="auto" w:fill="FFFFFF"/>
        </w:rPr>
        <w:t>NORMA QUE TRATA DE PROTEÇÃO AO MEIO AMBIENTE E POLUIÇÃO SONORA –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shd w:val="clear" w:color="auto" w:fill="FFFFFF"/>
        </w:rPr>
        <w:t>COMPETÊNCIA LEGISLATIVA SUPLEMENTAR DOS MUNICÍPIOS CONFERIDA PELOS ARTIGOS 24, VI</w:t>
      </w:r>
      <w:r w:rsidRPr="001310F4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E 30, I E II, DA CONSTITUIÇÃO FEDERAL – INTERESSE LOCAL E HARMONIA COM O REGRAMENTO EMANADO PELA UNIÃO E ESTADOS OBSERVADOS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– INEXISTÊNCIA DE OFENSA À DIVISÃO FUNCIONAL DOS PODERES À EXCEÇÃO DOS DISPOSITIVOS QUE PREVEEM A COMPETÊNCIA DOS AGENTES DE TRÂNSITO E DA GUARDA CIVIL MUNICIPAL PARA A FISCALIZAÇÃO - DETERMINAÇÃO DE ATRIBUIÇÕES À GUARDA CIVIL E À POLÍCIA MILITAR DO ESTADO DE SÃO PAULO - DESTINAÇÃO DE 50% </w:t>
      </w:r>
      <w:r w:rsidRPr="001310F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DAS RECEITAS PROVENIENTES DAS MULTAS PARA A COMPRA DE NOVOS ARMAMENTOS E EQUIPAMENTOS PARA A GUARDA CIVIL MUNICIPAL - CAUSA DE PEDIR ABERTA: OFENSA AO PACTO FEDERATIVO AO PREVER ATRIBUIÇÕES AOS POLICIAIS MILITARES. VIOLAÇÃO AO PRINCÍPIO DA SEPARAÇÃO DOS PODERES - INCONSTITUCIONALIDADE DECLARADA DOS ARTIGOS 2º, §5º, 3º E 5º, DA LEI Nº 10343/2020, DO MUNICÍPIO DE SANTO ANDRÉ – AÇÃO PARCIALMENTE PROCEDENTE. </w:t>
      </w:r>
      <w:r w:rsidRPr="001310F4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>(TJSP;</w:t>
      </w:r>
      <w:r w:rsidRPr="001310F4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 xml:space="preserve">  </w:t>
      </w:r>
      <w:r w:rsidRPr="001310F4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 xml:space="preserve">Direta de Inconstitucionalidade 2002598-58.2021.8.26.0000; Relator (a): Ferraz de Arruda; Órgão Julgador: Órgão Especial; Tribunal de Justiça de São Paulo - N/A; Data do Julgamento: </w:t>
      </w:r>
      <w:r w:rsidRPr="001310F4">
        <w:rPr>
          <w:rFonts w:asciiTheme="minorHAnsi" w:hAnsiTheme="minorHAnsi" w:cstheme="minorHAnsi"/>
          <w:b/>
          <w:i/>
          <w:color w:val="000000"/>
          <w:sz w:val="20"/>
          <w:shd w:val="clear" w:color="auto" w:fill="FFFFFF"/>
        </w:rPr>
        <w:t>22/09/2021</w:t>
      </w:r>
      <w:r w:rsidRPr="001310F4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>; Data de Registro: 23/09/2021)</w:t>
      </w:r>
    </w:p>
    <w:p w:rsidR="00A94ED0" w:rsidP="008F5B2A">
      <w:pPr>
        <w:pStyle w:val="BodyText"/>
        <w:ind w:left="2268"/>
        <w:jc w:val="both"/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</w:pPr>
    </w:p>
    <w:p w:rsidR="000D7927" w:rsidRPr="00B63FAA" w:rsidP="000D7927">
      <w:pPr>
        <w:pStyle w:val="BodyText"/>
        <w:spacing w:line="360" w:lineRule="auto"/>
        <w:ind w:firstLine="2268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u w:val="single"/>
          <w:shd w:val="clear" w:color="auto" w:fill="FFFFFF"/>
        </w:rPr>
        <w:t>Do mesmo modo, observamos</w:t>
      </w:r>
      <w:r w:rsidRPr="00EC55C8">
        <w:rPr>
          <w:rFonts w:asciiTheme="minorHAnsi" w:hAnsiTheme="minorHAnsi" w:cstheme="minorHAnsi"/>
          <w:color w:val="000000"/>
          <w:szCs w:val="24"/>
          <w:u w:val="single"/>
          <w:shd w:val="clear" w:color="auto" w:fill="FFFFFF"/>
        </w:rPr>
        <w:t xml:space="preserve"> adequação </w:t>
      </w:r>
      <w:r w:rsidR="00C93F4A">
        <w:rPr>
          <w:rFonts w:asciiTheme="minorHAnsi" w:hAnsiTheme="minorHAnsi" w:cstheme="minorHAnsi"/>
          <w:color w:val="000000"/>
          <w:szCs w:val="24"/>
          <w:u w:val="single"/>
          <w:shd w:val="clear" w:color="auto" w:fill="FFFFFF"/>
        </w:rPr>
        <w:t xml:space="preserve">da emenda </w:t>
      </w:r>
      <w:r w:rsidRPr="00EC55C8">
        <w:rPr>
          <w:rFonts w:asciiTheme="minorHAnsi" w:hAnsiTheme="minorHAnsi" w:cstheme="minorHAnsi"/>
          <w:color w:val="000000"/>
          <w:szCs w:val="24"/>
          <w:u w:val="single"/>
          <w:shd w:val="clear" w:color="auto" w:fill="FFFFFF"/>
        </w:rPr>
        <w:t>ao disposto no item 9.1 da Norma NBR-10.151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, que estabelece:</w:t>
      </w:r>
    </w:p>
    <w:p w:rsidR="000D7927" w:rsidP="000D7927">
      <w:pPr>
        <w:pStyle w:val="BodyText"/>
        <w:spacing w:after="240" w:line="360" w:lineRule="auto"/>
        <w:ind w:left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color w:val="000000"/>
          <w:szCs w:val="24"/>
          <w:shd w:val="clear" w:color="auto" w:fill="FFFFFF"/>
        </w:rPr>
        <w:drawing>
          <wp:inline distT="0" distB="0" distL="0" distR="0">
            <wp:extent cx="4581525" cy="1003726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2821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35" w:rsidRPr="001310F4" w:rsidP="008F5B2A">
      <w:pPr>
        <w:pStyle w:val="BodyText"/>
        <w:spacing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310F4">
        <w:rPr>
          <w:rFonts w:asciiTheme="minorHAnsi" w:hAnsiTheme="minorHAnsi" w:cstheme="minorHAnsi"/>
          <w:szCs w:val="24"/>
        </w:rPr>
        <w:t xml:space="preserve">Por fim, quanto ao aspecto gramatical e lógico </w:t>
      </w:r>
      <w:r w:rsidRPr="001310F4" w:rsidR="005611C4">
        <w:rPr>
          <w:rFonts w:asciiTheme="minorHAnsi" w:hAnsiTheme="minorHAnsi" w:cstheme="minorHAnsi"/>
          <w:szCs w:val="24"/>
        </w:rPr>
        <w:t>o projeto atente</w:t>
      </w:r>
      <w:r w:rsidRPr="001310F4">
        <w:rPr>
          <w:rFonts w:asciiTheme="minorHAnsi" w:hAnsiTheme="minorHAnsi" w:cstheme="minorHAnsi"/>
          <w:szCs w:val="24"/>
        </w:rPr>
        <w:t xml:space="preserve"> aos preceitos da Lei Complementar nº 95 de 1998</w:t>
      </w:r>
      <w:r w:rsidRPr="001310F4" w:rsidR="00C36041">
        <w:rPr>
          <w:rFonts w:asciiTheme="minorHAnsi" w:hAnsiTheme="minorHAnsi" w:cstheme="minorHAnsi"/>
          <w:szCs w:val="24"/>
        </w:rPr>
        <w:t>,</w:t>
      </w:r>
      <w:r w:rsidRPr="001310F4">
        <w:rPr>
          <w:rFonts w:asciiTheme="minorHAnsi" w:hAnsiTheme="minorHAnsi" w:cstheme="minorHAnsi"/>
          <w:szCs w:val="24"/>
        </w:rPr>
        <w:t xml:space="preserve"> que dispõe sobre a elaboração, redação, alt</w:t>
      </w:r>
      <w:r w:rsidRPr="001310F4" w:rsidR="005611C4">
        <w:rPr>
          <w:rFonts w:asciiTheme="minorHAnsi" w:hAnsiTheme="minorHAnsi" w:cstheme="minorHAnsi"/>
          <w:szCs w:val="24"/>
        </w:rPr>
        <w:t>eração e consolidação das leis.</w:t>
      </w:r>
    </w:p>
    <w:p w:rsidR="00F50ADA" w:rsidRPr="008F5B2A" w:rsidP="008F5B2A">
      <w:pPr>
        <w:pStyle w:val="BodyText"/>
        <w:spacing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8F5B2A">
        <w:rPr>
          <w:rFonts w:asciiTheme="minorHAnsi" w:hAnsiTheme="minorHAnsi" w:cstheme="minorHAnsi"/>
          <w:szCs w:val="24"/>
        </w:rPr>
        <w:t xml:space="preserve"> </w:t>
      </w:r>
      <w:r w:rsidRPr="008F5B2A" w:rsidR="00A56E27">
        <w:rPr>
          <w:rFonts w:asciiTheme="minorHAnsi" w:hAnsiTheme="minorHAnsi" w:cstheme="minorHAnsi"/>
          <w:szCs w:val="24"/>
        </w:rPr>
        <w:t xml:space="preserve">Ante o exposto, </w:t>
      </w:r>
      <w:r w:rsidRPr="008F5B2A" w:rsidR="00EB26A1">
        <w:rPr>
          <w:rFonts w:asciiTheme="minorHAnsi" w:hAnsiTheme="minorHAnsi" w:cstheme="minorHAnsi"/>
          <w:szCs w:val="24"/>
        </w:rPr>
        <w:t xml:space="preserve">opinamos </w:t>
      </w:r>
      <w:r w:rsidRPr="008F5B2A" w:rsidR="00A56E27">
        <w:rPr>
          <w:rFonts w:asciiTheme="minorHAnsi" w:hAnsiTheme="minorHAnsi" w:cstheme="minorHAnsi"/>
          <w:szCs w:val="24"/>
        </w:rPr>
        <w:t xml:space="preserve">pela constitucionalidade </w:t>
      </w:r>
      <w:r w:rsidRPr="008F5B2A" w:rsidR="00247C16">
        <w:rPr>
          <w:rFonts w:asciiTheme="minorHAnsi" w:hAnsiTheme="minorHAnsi" w:cstheme="minorHAnsi"/>
          <w:szCs w:val="24"/>
        </w:rPr>
        <w:t>da</w:t>
      </w:r>
      <w:r w:rsidRPr="008F5B2A" w:rsidR="00A56E27">
        <w:rPr>
          <w:rFonts w:asciiTheme="minorHAnsi" w:hAnsiTheme="minorHAnsi" w:cstheme="minorHAnsi"/>
          <w:szCs w:val="24"/>
        </w:rPr>
        <w:t xml:space="preserve"> emenda. </w:t>
      </w:r>
      <w:r w:rsidRPr="008F5B2A" w:rsidR="00A779B8">
        <w:rPr>
          <w:rFonts w:asciiTheme="minorHAnsi" w:hAnsiTheme="minorHAnsi" w:cstheme="minorHAnsi"/>
          <w:szCs w:val="24"/>
        </w:rPr>
        <w:t>Sobre o mérito, manifestar-se-á o Soberano Plenário.</w:t>
      </w:r>
    </w:p>
    <w:p w:rsidR="00F50ADA" w:rsidRPr="001310F4" w:rsidP="008F5B2A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310F4">
        <w:rPr>
          <w:rFonts w:asciiTheme="minorHAnsi" w:hAnsiTheme="minorHAnsi" w:cstheme="minorHAnsi"/>
          <w:szCs w:val="24"/>
        </w:rPr>
        <w:t>É o parecer, a superior consideração.</w:t>
      </w:r>
    </w:p>
    <w:p w:rsidR="00A779B8" w:rsidRPr="001310F4" w:rsidP="008F5B2A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310F4">
        <w:rPr>
          <w:rFonts w:asciiTheme="minorHAnsi" w:hAnsiTheme="minorHAnsi" w:cstheme="minorHAnsi"/>
          <w:szCs w:val="24"/>
        </w:rPr>
        <w:t xml:space="preserve">Procuradoria, </w:t>
      </w:r>
      <w:r w:rsidR="000D7927">
        <w:rPr>
          <w:rFonts w:asciiTheme="minorHAnsi" w:hAnsiTheme="minorHAnsi" w:cstheme="minorHAnsi"/>
          <w:szCs w:val="24"/>
        </w:rPr>
        <w:t>17</w:t>
      </w:r>
      <w:r w:rsidRPr="001310F4" w:rsidR="009E0FBF">
        <w:rPr>
          <w:rFonts w:asciiTheme="minorHAnsi" w:hAnsiTheme="minorHAnsi" w:cstheme="minorHAnsi"/>
          <w:szCs w:val="24"/>
        </w:rPr>
        <w:t xml:space="preserve"> </w:t>
      </w:r>
      <w:r w:rsidRPr="001310F4">
        <w:rPr>
          <w:rFonts w:asciiTheme="minorHAnsi" w:hAnsiTheme="minorHAnsi" w:cstheme="minorHAnsi"/>
          <w:szCs w:val="24"/>
        </w:rPr>
        <w:t xml:space="preserve">de </w:t>
      </w:r>
      <w:r w:rsidR="000D7927">
        <w:rPr>
          <w:rFonts w:asciiTheme="minorHAnsi" w:hAnsiTheme="minorHAnsi" w:cstheme="minorHAnsi"/>
          <w:szCs w:val="24"/>
        </w:rPr>
        <w:t>novembro</w:t>
      </w:r>
      <w:r w:rsidRPr="001310F4">
        <w:rPr>
          <w:rFonts w:asciiTheme="minorHAnsi" w:hAnsiTheme="minorHAnsi" w:cstheme="minorHAnsi"/>
          <w:szCs w:val="24"/>
        </w:rPr>
        <w:t xml:space="preserve"> de 2022.</w:t>
      </w:r>
    </w:p>
    <w:p w:rsidR="003D7B81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C93F4A" w:rsidRPr="001310F4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A779B8" w:rsidRPr="001310F4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310F4">
        <w:rPr>
          <w:rFonts w:asciiTheme="minorHAnsi" w:hAnsiTheme="minorHAnsi" w:cstheme="minorHAnsi"/>
          <w:b/>
          <w:szCs w:val="24"/>
        </w:rPr>
        <w:t>Rosemeire de Souza Cardoso Barbosa</w:t>
      </w:r>
    </w:p>
    <w:p w:rsidR="00A779B8" w:rsidRPr="001310F4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310F4">
        <w:rPr>
          <w:rFonts w:asciiTheme="minorHAnsi" w:hAnsiTheme="minorHAnsi" w:cstheme="minorHAnsi"/>
          <w:b/>
          <w:szCs w:val="24"/>
        </w:rPr>
        <w:t>Procuradora - OAB/SP 308.298</w:t>
      </w:r>
    </w:p>
    <w:p w:rsidR="00766226" w:rsidRPr="001310F4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</w:rPr>
      </w:pPr>
      <w:r w:rsidRPr="001310F4">
        <w:rPr>
          <w:rFonts w:asciiTheme="minorHAnsi" w:hAnsiTheme="minorHAnsi" w:cstheme="minorHAnsi"/>
          <w:szCs w:val="24"/>
        </w:rPr>
        <w:t>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B615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B615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B615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B615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B615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962FD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962FD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154" w:rsidP="00E86B5F">
    <w:pPr>
      <w:pStyle w:val="Header"/>
      <w:jc w:val="center"/>
      <w:rPr>
        <w:b/>
        <w:sz w:val="26"/>
        <w:lang w:val="pt-PT"/>
      </w:rPr>
    </w:pPr>
  </w:p>
  <w:p w:rsidR="00DB615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15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6119594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319596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019561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B615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689353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019561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B615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B615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3C7A64"/>
    <w:multiLevelType w:val="hybridMultilevel"/>
    <w:tmpl w:val="BD866DFE"/>
    <w:lvl w:ilvl="0">
      <w:start w:val="1"/>
      <w:numFmt w:val="upperRoman"/>
      <w:suff w:val="space"/>
      <w:lvlText w:val="%1 - 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176F5"/>
    <w:multiLevelType w:val="hybridMultilevel"/>
    <w:tmpl w:val="299C9CF6"/>
    <w:lvl w:ilvl="0">
      <w:start w:val="1"/>
      <w:numFmt w:val="upperRoman"/>
      <w:suff w:val="space"/>
      <w:lvlText w:val="%1 - 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FD04E8"/>
    <w:multiLevelType w:val="hybridMultilevel"/>
    <w:tmpl w:val="7DDCDB16"/>
    <w:lvl w:ilvl="0">
      <w:start w:val="1"/>
      <w:numFmt w:val="upperRoman"/>
      <w:suff w:val="space"/>
      <w:lvlText w:val="%1 - 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1667"/>
    <w:rsid w:val="0001147D"/>
    <w:rsid w:val="00045ACF"/>
    <w:rsid w:val="00085AA6"/>
    <w:rsid w:val="000869B4"/>
    <w:rsid w:val="000B212E"/>
    <w:rsid w:val="000C1B0D"/>
    <w:rsid w:val="000D7927"/>
    <w:rsid w:val="000E3ADD"/>
    <w:rsid w:val="000F2A2F"/>
    <w:rsid w:val="001149DE"/>
    <w:rsid w:val="001310F4"/>
    <w:rsid w:val="001604ED"/>
    <w:rsid w:val="00186288"/>
    <w:rsid w:val="00194046"/>
    <w:rsid w:val="001A463B"/>
    <w:rsid w:val="001B1994"/>
    <w:rsid w:val="001F0552"/>
    <w:rsid w:val="001F0850"/>
    <w:rsid w:val="0023693B"/>
    <w:rsid w:val="00247C16"/>
    <w:rsid w:val="00277551"/>
    <w:rsid w:val="002A4643"/>
    <w:rsid w:val="00336844"/>
    <w:rsid w:val="00336C41"/>
    <w:rsid w:val="003A796B"/>
    <w:rsid w:val="003B4464"/>
    <w:rsid w:val="003C1D3A"/>
    <w:rsid w:val="003D5E35"/>
    <w:rsid w:val="003D7B81"/>
    <w:rsid w:val="003E0624"/>
    <w:rsid w:val="0046448F"/>
    <w:rsid w:val="004962FD"/>
    <w:rsid w:val="004A10E3"/>
    <w:rsid w:val="0053635B"/>
    <w:rsid w:val="005611C4"/>
    <w:rsid w:val="005723D1"/>
    <w:rsid w:val="005877C6"/>
    <w:rsid w:val="005C0559"/>
    <w:rsid w:val="00621D83"/>
    <w:rsid w:val="00646BC4"/>
    <w:rsid w:val="00685216"/>
    <w:rsid w:val="006B06EE"/>
    <w:rsid w:val="006B0A89"/>
    <w:rsid w:val="006B4991"/>
    <w:rsid w:val="00766226"/>
    <w:rsid w:val="00791AF4"/>
    <w:rsid w:val="008B72D2"/>
    <w:rsid w:val="008D7F06"/>
    <w:rsid w:val="008E7095"/>
    <w:rsid w:val="008F1421"/>
    <w:rsid w:val="008F5B2A"/>
    <w:rsid w:val="00925062"/>
    <w:rsid w:val="00927006"/>
    <w:rsid w:val="00942B8B"/>
    <w:rsid w:val="0096379C"/>
    <w:rsid w:val="00997F48"/>
    <w:rsid w:val="009A07D0"/>
    <w:rsid w:val="009A1374"/>
    <w:rsid w:val="009E0FBF"/>
    <w:rsid w:val="009E5961"/>
    <w:rsid w:val="00A56E27"/>
    <w:rsid w:val="00A72BEB"/>
    <w:rsid w:val="00A73639"/>
    <w:rsid w:val="00A74B3C"/>
    <w:rsid w:val="00A779B8"/>
    <w:rsid w:val="00A862C9"/>
    <w:rsid w:val="00A87ED2"/>
    <w:rsid w:val="00A949A5"/>
    <w:rsid w:val="00A94ED0"/>
    <w:rsid w:val="00AA063D"/>
    <w:rsid w:val="00AD055D"/>
    <w:rsid w:val="00AE3E50"/>
    <w:rsid w:val="00AE43CE"/>
    <w:rsid w:val="00B03E82"/>
    <w:rsid w:val="00B07D7F"/>
    <w:rsid w:val="00B1451C"/>
    <w:rsid w:val="00B60E48"/>
    <w:rsid w:val="00B63FAA"/>
    <w:rsid w:val="00BC47E8"/>
    <w:rsid w:val="00C0019B"/>
    <w:rsid w:val="00C11708"/>
    <w:rsid w:val="00C26E3C"/>
    <w:rsid w:val="00C34EA7"/>
    <w:rsid w:val="00C36041"/>
    <w:rsid w:val="00C669D7"/>
    <w:rsid w:val="00C77421"/>
    <w:rsid w:val="00C830D7"/>
    <w:rsid w:val="00C93F4A"/>
    <w:rsid w:val="00C977A4"/>
    <w:rsid w:val="00CD726F"/>
    <w:rsid w:val="00D45757"/>
    <w:rsid w:val="00D6369B"/>
    <w:rsid w:val="00D75ECD"/>
    <w:rsid w:val="00DB6154"/>
    <w:rsid w:val="00DB61AE"/>
    <w:rsid w:val="00DD7576"/>
    <w:rsid w:val="00DF0889"/>
    <w:rsid w:val="00DF1E9A"/>
    <w:rsid w:val="00E41BF6"/>
    <w:rsid w:val="00E744DE"/>
    <w:rsid w:val="00E86B5F"/>
    <w:rsid w:val="00EB26A1"/>
    <w:rsid w:val="00EC2D42"/>
    <w:rsid w:val="00EC55C8"/>
    <w:rsid w:val="00ED0C79"/>
    <w:rsid w:val="00F05AFD"/>
    <w:rsid w:val="00F50ADA"/>
    <w:rsid w:val="00F53BEF"/>
    <w:rsid w:val="00F66238"/>
    <w:rsid w:val="00FA42E0"/>
    <w:rsid w:val="00FC140B"/>
    <w:rsid w:val="00FC3E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ormas-indices-artigo">
    <w:name w:val="normas-indices-artigo"/>
    <w:rsid w:val="00DD7576"/>
  </w:style>
  <w:style w:type="character" w:styleId="Strong">
    <w:name w:val="Strong"/>
    <w:basedOn w:val="DefaultParagraphFont"/>
    <w:uiPriority w:val="22"/>
    <w:qFormat/>
    <w:rsid w:val="00A94ED0"/>
    <w:rPr>
      <w:b/>
      <w:b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94ED0"/>
    <w:pPr>
      <w:spacing w:after="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94E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E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0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C811-F93F-48D4-A1C0-7C048E5B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dcterms:created xsi:type="dcterms:W3CDTF">2022-11-17T14:49:00Z</dcterms:created>
  <dcterms:modified xsi:type="dcterms:W3CDTF">2022-11-17T16:07:00Z</dcterms:modified>
</cp:coreProperties>
</file>