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E11044" w:rsidP="00A779B8">
      <w:pPr>
        <w:pStyle w:val="Default"/>
        <w:rPr>
          <w:rFonts w:eastAsia="Times New Roman" w:asciiTheme="minorHAnsi" w:hAnsiTheme="minorHAnsi" w:cstheme="minorHAnsi"/>
          <w:bCs/>
          <w:color w:val="auto"/>
        </w:rPr>
      </w:pPr>
      <w:r w:rsidRPr="00E11044">
        <w:rPr>
          <w:rFonts w:asciiTheme="minorHAnsi" w:hAnsiTheme="minorHAnsi" w:cstheme="minorHAnsi"/>
          <w:b/>
          <w:color w:val="auto"/>
        </w:rPr>
        <w:t xml:space="preserve">Parecer Jurídico nº </w:t>
      </w:r>
      <w:r w:rsidRPr="00E11044" w:rsidR="00E11044">
        <w:rPr>
          <w:rFonts w:asciiTheme="minorHAnsi" w:hAnsiTheme="minorHAnsi" w:cstheme="minorHAnsi"/>
          <w:b/>
          <w:color w:val="auto"/>
        </w:rPr>
        <w:t>399</w:t>
      </w:r>
      <w:r w:rsidRPr="00E11044">
        <w:rPr>
          <w:rFonts w:asciiTheme="minorHAnsi" w:hAnsiTheme="minorHAnsi" w:cstheme="minorHAnsi"/>
          <w:b/>
          <w:color w:val="auto"/>
        </w:rPr>
        <w:t>/2022.</w:t>
      </w:r>
    </w:p>
    <w:p w:rsidR="00E41473" w:rsidRPr="00E41473" w:rsidP="00E41473">
      <w:pPr>
        <w:rPr>
          <w:rFonts w:asciiTheme="minorHAnsi" w:hAnsiTheme="minorHAnsi" w:cstheme="minorHAnsi"/>
          <w:szCs w:val="24"/>
        </w:rPr>
      </w:pPr>
      <w:r w:rsidRPr="00E11044">
        <w:rPr>
          <w:rFonts w:asciiTheme="minorHAnsi" w:hAnsiTheme="minorHAnsi" w:cstheme="minorHAnsi"/>
          <w:b/>
          <w:bCs/>
          <w:szCs w:val="24"/>
        </w:rPr>
        <w:t>Assunto</w:t>
      </w:r>
      <w:r w:rsidRPr="00E11044">
        <w:rPr>
          <w:rFonts w:asciiTheme="minorHAnsi" w:hAnsiTheme="minorHAnsi" w:cstheme="minorHAnsi"/>
          <w:bCs/>
          <w:szCs w:val="24"/>
        </w:rPr>
        <w:t xml:space="preserve">: </w:t>
      </w:r>
      <w:r w:rsidRPr="00E11044">
        <w:rPr>
          <w:rFonts w:asciiTheme="minorHAnsi" w:hAnsiTheme="minorHAnsi" w:cstheme="minorHAnsi"/>
          <w:b/>
          <w:bCs/>
          <w:szCs w:val="24"/>
        </w:rPr>
        <w:t>Projeto de</w:t>
      </w:r>
      <w:r w:rsidRPr="00E11044" w:rsidR="00914AA0">
        <w:rPr>
          <w:rFonts w:asciiTheme="minorHAnsi" w:hAnsiTheme="minorHAnsi" w:cstheme="minorHAnsi"/>
          <w:b/>
          <w:bCs/>
          <w:szCs w:val="24"/>
        </w:rPr>
        <w:t xml:space="preserve"> </w:t>
      </w:r>
      <w:r w:rsidRPr="00E11044" w:rsidR="00A65E03">
        <w:rPr>
          <w:rFonts w:asciiTheme="minorHAnsi" w:hAnsiTheme="minorHAnsi" w:cstheme="minorHAnsi"/>
          <w:b/>
          <w:bCs/>
          <w:szCs w:val="24"/>
        </w:rPr>
        <w:t>Le</w:t>
      </w:r>
      <w:r w:rsidRPr="00E11044" w:rsidR="00914AA0">
        <w:rPr>
          <w:rFonts w:asciiTheme="minorHAnsi" w:hAnsiTheme="minorHAnsi" w:cstheme="minorHAnsi"/>
          <w:b/>
          <w:bCs/>
          <w:szCs w:val="24"/>
        </w:rPr>
        <w:t>i nº</w:t>
      </w:r>
      <w:r w:rsidRPr="00E11044" w:rsidR="00C26555">
        <w:rPr>
          <w:rFonts w:asciiTheme="minorHAnsi" w:hAnsiTheme="minorHAnsi" w:cstheme="minorHAnsi"/>
          <w:b/>
          <w:bCs/>
          <w:szCs w:val="24"/>
        </w:rPr>
        <w:t xml:space="preserve"> 1</w:t>
      </w:r>
      <w:r w:rsidRPr="00E11044" w:rsidR="00320AAD">
        <w:rPr>
          <w:rFonts w:asciiTheme="minorHAnsi" w:hAnsiTheme="minorHAnsi" w:cstheme="minorHAnsi"/>
          <w:b/>
          <w:bCs/>
          <w:szCs w:val="24"/>
        </w:rPr>
        <w:t>91</w:t>
      </w:r>
      <w:r w:rsidRPr="00E11044" w:rsidR="00D932DC">
        <w:rPr>
          <w:rFonts w:asciiTheme="minorHAnsi" w:hAnsiTheme="minorHAnsi" w:cstheme="minorHAnsi"/>
          <w:b/>
          <w:bCs/>
          <w:szCs w:val="24"/>
        </w:rPr>
        <w:t>/202</w:t>
      </w:r>
      <w:r w:rsidRPr="00E11044" w:rsidR="00303558">
        <w:rPr>
          <w:rFonts w:asciiTheme="minorHAnsi" w:hAnsiTheme="minorHAnsi" w:cstheme="minorHAnsi"/>
          <w:b/>
          <w:bCs/>
          <w:szCs w:val="24"/>
        </w:rPr>
        <w:t xml:space="preserve">2 </w:t>
      </w:r>
      <w:r w:rsidRPr="00C7097B" w:rsidR="00303558">
        <w:rPr>
          <w:rFonts w:asciiTheme="minorHAnsi" w:hAnsiTheme="minorHAnsi" w:cstheme="minorHAnsi"/>
          <w:b/>
          <w:bCs/>
          <w:szCs w:val="24"/>
        </w:rPr>
        <w:t xml:space="preserve">– </w:t>
      </w:r>
      <w:r w:rsidRPr="00E41473">
        <w:rPr>
          <w:rFonts w:asciiTheme="minorHAnsi" w:hAnsiTheme="minorHAnsi" w:cstheme="minorHAnsi"/>
          <w:szCs w:val="24"/>
        </w:rPr>
        <w:t xml:space="preserve">Autoriza </w:t>
      </w:r>
      <w:r>
        <w:rPr>
          <w:rFonts w:asciiTheme="minorHAnsi" w:hAnsiTheme="minorHAnsi" w:cstheme="minorHAnsi"/>
          <w:szCs w:val="24"/>
        </w:rPr>
        <w:t xml:space="preserve">a revisão das contratualizações </w:t>
      </w:r>
      <w:r w:rsidR="000006EF">
        <w:rPr>
          <w:rFonts w:asciiTheme="minorHAnsi" w:hAnsiTheme="minorHAnsi" w:cstheme="minorHAnsi"/>
          <w:szCs w:val="24"/>
        </w:rPr>
        <w:t>firmadas pelo Poder Público</w:t>
      </w:r>
      <w:r w:rsidRPr="00E41473">
        <w:rPr>
          <w:rFonts w:asciiTheme="minorHAnsi" w:hAnsiTheme="minorHAnsi" w:cstheme="minorHAnsi"/>
          <w:szCs w:val="24"/>
        </w:rPr>
        <w:t xml:space="preserve"> junto as entidades do terceiro setor, pela</w:t>
      </w:r>
      <w:r w:rsidR="000006EF">
        <w:rPr>
          <w:rFonts w:asciiTheme="minorHAnsi" w:hAnsiTheme="minorHAnsi" w:cstheme="minorHAnsi"/>
          <w:szCs w:val="24"/>
        </w:rPr>
        <w:t xml:space="preserve"> </w:t>
      </w:r>
      <w:r w:rsidRPr="00E41473">
        <w:rPr>
          <w:rFonts w:asciiTheme="minorHAnsi" w:hAnsiTheme="minorHAnsi" w:cstheme="minorHAnsi"/>
          <w:szCs w:val="24"/>
        </w:rPr>
        <w:t>ocasião da majoração de seus custos, decorrentes das revisões dos encargos trabalhistas, quando aprovados nas convenções coletivas na forma que especifica e dá outras</w:t>
      </w:r>
      <w:r>
        <w:rPr>
          <w:rFonts w:asciiTheme="minorHAnsi" w:hAnsiTheme="minorHAnsi" w:cstheme="minorHAnsi"/>
          <w:szCs w:val="24"/>
        </w:rPr>
        <w:t>.</w:t>
      </w:r>
      <w:r w:rsidRPr="00E41473">
        <w:rPr>
          <w:rFonts w:asciiTheme="minorHAnsi" w:hAnsiTheme="minorHAnsi" w:cstheme="minorHAnsi"/>
          <w:szCs w:val="24"/>
        </w:rPr>
        <w:t xml:space="preserve"> </w:t>
      </w:r>
    </w:p>
    <w:p w:rsidR="00432783" w:rsidP="00E41473">
      <w:pPr>
        <w:rPr>
          <w:rFonts w:asciiTheme="minorHAnsi" w:hAnsiTheme="minorHAnsi" w:cstheme="minorHAnsi"/>
          <w:b/>
          <w:bCs/>
          <w:szCs w:val="24"/>
        </w:rPr>
      </w:pPr>
      <w:r w:rsidRPr="00C7097B">
        <w:rPr>
          <w:rFonts w:asciiTheme="minorHAnsi" w:hAnsiTheme="minorHAnsi" w:cstheme="minorHAnsi"/>
          <w:b/>
          <w:bCs/>
          <w:szCs w:val="24"/>
        </w:rPr>
        <w:t>A</w:t>
      </w:r>
      <w:r w:rsidRPr="00C7097B" w:rsidR="00305026">
        <w:rPr>
          <w:rFonts w:asciiTheme="minorHAnsi" w:hAnsiTheme="minorHAnsi" w:cstheme="minorHAnsi"/>
          <w:b/>
          <w:bCs/>
          <w:szCs w:val="24"/>
        </w:rPr>
        <w:t xml:space="preserve">utoria </w:t>
      </w:r>
      <w:r w:rsidRPr="00C7097B" w:rsidR="00B34441">
        <w:rPr>
          <w:rFonts w:asciiTheme="minorHAnsi" w:hAnsiTheme="minorHAnsi" w:cstheme="minorHAnsi"/>
          <w:b/>
          <w:bCs/>
          <w:szCs w:val="24"/>
        </w:rPr>
        <w:t>do</w:t>
      </w:r>
      <w:r w:rsidR="00320AAD">
        <w:rPr>
          <w:rFonts w:asciiTheme="minorHAnsi" w:hAnsiTheme="minorHAnsi" w:cstheme="minorHAnsi"/>
          <w:b/>
          <w:bCs/>
          <w:szCs w:val="24"/>
        </w:rPr>
        <w:t>s</w:t>
      </w:r>
      <w:r w:rsidRPr="00C7097B" w:rsidR="00D932DC">
        <w:rPr>
          <w:rFonts w:asciiTheme="minorHAnsi" w:hAnsiTheme="minorHAnsi" w:cstheme="minorHAnsi"/>
          <w:b/>
          <w:bCs/>
          <w:szCs w:val="24"/>
        </w:rPr>
        <w:t xml:space="preserve"> Vereador</w:t>
      </w:r>
      <w:r w:rsidR="00320AAD">
        <w:rPr>
          <w:rFonts w:asciiTheme="minorHAnsi" w:hAnsiTheme="minorHAnsi" w:cstheme="minorHAnsi"/>
          <w:b/>
          <w:bCs/>
          <w:szCs w:val="24"/>
        </w:rPr>
        <w:t>es</w:t>
      </w:r>
      <w:r w:rsidRPr="00C7097B" w:rsidR="000A5F15">
        <w:rPr>
          <w:rFonts w:asciiTheme="minorHAnsi" w:hAnsiTheme="minorHAnsi" w:cstheme="minorHAnsi"/>
          <w:b/>
          <w:bCs/>
          <w:szCs w:val="24"/>
        </w:rPr>
        <w:t xml:space="preserve"> </w:t>
      </w:r>
      <w:r>
        <w:rPr>
          <w:rFonts w:asciiTheme="minorHAnsi" w:hAnsiTheme="minorHAnsi" w:cstheme="minorHAnsi"/>
          <w:b/>
          <w:bCs/>
          <w:szCs w:val="24"/>
        </w:rPr>
        <w:t xml:space="preserve">Franklin, </w:t>
      </w:r>
      <w:r w:rsidRPr="00E41473">
        <w:rPr>
          <w:rFonts w:asciiTheme="minorHAnsi" w:hAnsiTheme="minorHAnsi" w:cstheme="minorHAnsi"/>
          <w:b/>
          <w:bCs/>
          <w:szCs w:val="24"/>
        </w:rPr>
        <w:t>César Rocha,</w:t>
      </w:r>
      <w:r w:rsidRPr="00432783">
        <w:rPr>
          <w:rFonts w:asciiTheme="minorHAnsi" w:hAnsiTheme="minorHAnsi" w:cstheme="minorHAnsi"/>
          <w:b/>
          <w:bCs/>
          <w:szCs w:val="24"/>
        </w:rPr>
        <w:t xml:space="preserve"> </w:t>
      </w:r>
      <w:r w:rsidRPr="00E41473">
        <w:rPr>
          <w:rFonts w:asciiTheme="minorHAnsi" w:hAnsiTheme="minorHAnsi" w:cstheme="minorHAnsi"/>
          <w:b/>
          <w:bCs/>
          <w:szCs w:val="24"/>
        </w:rPr>
        <w:t>Tunico,</w:t>
      </w:r>
      <w:r w:rsidRPr="00432783">
        <w:rPr>
          <w:rFonts w:asciiTheme="minorHAnsi" w:hAnsiTheme="minorHAnsi" w:cstheme="minorHAnsi"/>
          <w:b/>
          <w:bCs/>
          <w:szCs w:val="24"/>
        </w:rPr>
        <w:t xml:space="preserve"> </w:t>
      </w:r>
      <w:r w:rsidRPr="00E41473">
        <w:rPr>
          <w:rFonts w:asciiTheme="minorHAnsi" w:hAnsiTheme="minorHAnsi" w:cstheme="minorHAnsi"/>
          <w:b/>
          <w:bCs/>
          <w:szCs w:val="24"/>
        </w:rPr>
        <w:t>Thiago Samasso,</w:t>
      </w:r>
      <w:r w:rsidRPr="00432783">
        <w:rPr>
          <w:rFonts w:asciiTheme="minorHAnsi" w:hAnsiTheme="minorHAnsi" w:cstheme="minorHAnsi"/>
          <w:b/>
          <w:bCs/>
          <w:szCs w:val="24"/>
        </w:rPr>
        <w:t xml:space="preserve"> </w:t>
      </w:r>
      <w:r w:rsidRPr="00E41473">
        <w:rPr>
          <w:rFonts w:asciiTheme="minorHAnsi" w:hAnsiTheme="minorHAnsi" w:cstheme="minorHAnsi"/>
          <w:b/>
          <w:bCs/>
          <w:szCs w:val="24"/>
        </w:rPr>
        <w:t>Simone Bellini,</w:t>
      </w:r>
      <w:r w:rsidRPr="00432783">
        <w:rPr>
          <w:rFonts w:asciiTheme="minorHAnsi" w:hAnsiTheme="minorHAnsi" w:cstheme="minorHAnsi"/>
          <w:b/>
          <w:bCs/>
          <w:szCs w:val="24"/>
        </w:rPr>
        <w:t xml:space="preserve"> </w:t>
      </w:r>
      <w:r w:rsidRPr="00E41473">
        <w:rPr>
          <w:rFonts w:asciiTheme="minorHAnsi" w:hAnsiTheme="minorHAnsi" w:cstheme="minorHAnsi"/>
          <w:b/>
          <w:bCs/>
          <w:szCs w:val="24"/>
        </w:rPr>
        <w:t>Mônica Morandi,</w:t>
      </w:r>
      <w:r w:rsidRPr="00432783">
        <w:rPr>
          <w:rFonts w:asciiTheme="minorHAnsi" w:hAnsiTheme="minorHAnsi" w:cstheme="minorHAnsi"/>
          <w:b/>
          <w:bCs/>
          <w:szCs w:val="24"/>
        </w:rPr>
        <w:t xml:space="preserve"> </w:t>
      </w:r>
      <w:r w:rsidRPr="00E41473">
        <w:rPr>
          <w:rFonts w:asciiTheme="minorHAnsi" w:hAnsiTheme="minorHAnsi" w:cstheme="minorHAnsi"/>
          <w:b/>
          <w:bCs/>
          <w:szCs w:val="24"/>
        </w:rPr>
        <w:t>Mayr,</w:t>
      </w:r>
      <w:r w:rsidRPr="00432783">
        <w:rPr>
          <w:rFonts w:asciiTheme="minorHAnsi" w:hAnsiTheme="minorHAnsi" w:cstheme="minorHAnsi"/>
          <w:b/>
          <w:bCs/>
          <w:szCs w:val="24"/>
        </w:rPr>
        <w:t xml:space="preserve"> </w:t>
      </w:r>
      <w:r w:rsidRPr="00E41473">
        <w:rPr>
          <w:rFonts w:asciiTheme="minorHAnsi" w:hAnsiTheme="minorHAnsi" w:cstheme="minorHAnsi"/>
          <w:b/>
          <w:bCs/>
          <w:szCs w:val="24"/>
        </w:rPr>
        <w:t>Alécio Cau,</w:t>
      </w:r>
      <w:r w:rsidRPr="00432783">
        <w:rPr>
          <w:rFonts w:asciiTheme="minorHAnsi" w:hAnsiTheme="minorHAnsi" w:cstheme="minorHAnsi"/>
          <w:b/>
          <w:bCs/>
          <w:szCs w:val="24"/>
        </w:rPr>
        <w:t xml:space="preserve"> </w:t>
      </w:r>
      <w:r w:rsidRPr="00E41473">
        <w:rPr>
          <w:rFonts w:asciiTheme="minorHAnsi" w:hAnsiTheme="minorHAnsi" w:cstheme="minorHAnsi"/>
          <w:b/>
          <w:bCs/>
          <w:szCs w:val="24"/>
        </w:rPr>
        <w:t>Edinho Garcia,</w:t>
      </w:r>
      <w:r w:rsidRPr="00432783">
        <w:rPr>
          <w:rFonts w:asciiTheme="minorHAnsi" w:hAnsiTheme="minorHAnsi" w:cstheme="minorHAnsi"/>
          <w:b/>
          <w:bCs/>
          <w:szCs w:val="24"/>
        </w:rPr>
        <w:t xml:space="preserve"> </w:t>
      </w:r>
      <w:r w:rsidRPr="00E41473">
        <w:rPr>
          <w:rFonts w:asciiTheme="minorHAnsi" w:hAnsiTheme="minorHAnsi" w:cstheme="minorHAnsi"/>
          <w:b/>
          <w:bCs/>
          <w:szCs w:val="24"/>
        </w:rPr>
        <w:t>Alexandre "Japa",</w:t>
      </w:r>
      <w:r w:rsidRPr="00432783">
        <w:rPr>
          <w:rFonts w:asciiTheme="minorHAnsi" w:hAnsiTheme="minorHAnsi" w:cstheme="minorHAnsi"/>
          <w:b/>
          <w:bCs/>
          <w:szCs w:val="24"/>
        </w:rPr>
        <w:t xml:space="preserve"> </w:t>
      </w:r>
      <w:r w:rsidRPr="00E41473">
        <w:rPr>
          <w:rFonts w:asciiTheme="minorHAnsi" w:hAnsiTheme="minorHAnsi" w:cstheme="minorHAnsi"/>
          <w:b/>
          <w:bCs/>
          <w:szCs w:val="24"/>
        </w:rPr>
        <w:t>Toloi,</w:t>
      </w:r>
      <w:r w:rsidRPr="00432783">
        <w:rPr>
          <w:rFonts w:asciiTheme="minorHAnsi" w:hAnsiTheme="minorHAnsi" w:cstheme="minorHAnsi"/>
          <w:b/>
          <w:bCs/>
          <w:szCs w:val="24"/>
        </w:rPr>
        <w:t xml:space="preserve"> </w:t>
      </w:r>
      <w:r w:rsidRPr="00E41473">
        <w:rPr>
          <w:rFonts w:asciiTheme="minorHAnsi" w:hAnsiTheme="minorHAnsi" w:cstheme="minorHAnsi"/>
          <w:b/>
          <w:bCs/>
          <w:szCs w:val="24"/>
        </w:rPr>
        <w:t>Henrique Conti,</w:t>
      </w:r>
      <w:r w:rsidRPr="00432783">
        <w:rPr>
          <w:rFonts w:asciiTheme="minorHAnsi" w:hAnsiTheme="minorHAnsi" w:cstheme="minorHAnsi"/>
          <w:b/>
          <w:bCs/>
          <w:szCs w:val="24"/>
        </w:rPr>
        <w:t xml:space="preserve"> </w:t>
      </w:r>
      <w:r w:rsidRPr="00E41473">
        <w:rPr>
          <w:rFonts w:asciiTheme="minorHAnsi" w:hAnsiTheme="minorHAnsi" w:cstheme="minorHAnsi"/>
          <w:b/>
          <w:bCs/>
          <w:szCs w:val="24"/>
        </w:rPr>
        <w:t>André Amaral,</w:t>
      </w:r>
      <w:r w:rsidRPr="00432783">
        <w:rPr>
          <w:rFonts w:asciiTheme="minorHAnsi" w:hAnsiTheme="minorHAnsi" w:cstheme="minorHAnsi"/>
          <w:b/>
          <w:bCs/>
          <w:szCs w:val="24"/>
        </w:rPr>
        <w:t xml:space="preserve"> </w:t>
      </w:r>
      <w:r w:rsidRPr="00E41473">
        <w:rPr>
          <w:rFonts w:asciiTheme="minorHAnsi" w:hAnsiTheme="minorHAnsi" w:cstheme="minorHAnsi"/>
          <w:b/>
          <w:bCs/>
          <w:szCs w:val="24"/>
        </w:rPr>
        <w:t>Marcelo Yoshida,</w:t>
      </w:r>
      <w:r w:rsidRPr="00432783">
        <w:rPr>
          <w:rFonts w:asciiTheme="minorHAnsi" w:hAnsiTheme="minorHAnsi" w:cstheme="minorHAnsi"/>
          <w:b/>
          <w:bCs/>
          <w:szCs w:val="24"/>
        </w:rPr>
        <w:t xml:space="preserve"> </w:t>
      </w:r>
      <w:r w:rsidRPr="00E41473">
        <w:rPr>
          <w:rFonts w:asciiTheme="minorHAnsi" w:hAnsiTheme="minorHAnsi" w:cstheme="minorHAnsi"/>
          <w:b/>
          <w:bCs/>
          <w:szCs w:val="24"/>
        </w:rPr>
        <w:t>Veiga</w:t>
      </w:r>
      <w:r>
        <w:rPr>
          <w:rFonts w:asciiTheme="minorHAnsi" w:hAnsiTheme="minorHAnsi" w:cstheme="minorHAnsi"/>
          <w:b/>
          <w:bCs/>
          <w:szCs w:val="24"/>
        </w:rPr>
        <w:t>.</w:t>
      </w:r>
    </w:p>
    <w:p w:rsidR="00432783" w:rsidP="00E41473">
      <w:pPr>
        <w:rPr>
          <w:rFonts w:asciiTheme="minorHAnsi" w:hAnsiTheme="minorHAnsi" w:cstheme="minorHAnsi"/>
          <w:b/>
          <w:bCs/>
          <w:szCs w:val="24"/>
        </w:rPr>
      </w:pPr>
    </w:p>
    <w:p w:rsidR="002B612E" w:rsidRPr="00C7097B" w:rsidP="00D932DC">
      <w:pPr>
        <w:rPr>
          <w:rFonts w:asciiTheme="minorHAnsi" w:hAnsiTheme="minorHAnsi" w:cstheme="minorHAnsi"/>
          <w:bCs/>
          <w:szCs w:val="24"/>
        </w:rPr>
      </w:pPr>
    </w:p>
    <w:p w:rsidR="00C635CA" w:rsidRPr="00C7097B" w:rsidP="00D932DC">
      <w:pPr>
        <w:rPr>
          <w:rFonts w:asciiTheme="minorHAnsi" w:hAnsiTheme="minorHAnsi" w:cstheme="minorHAnsi"/>
          <w:bCs/>
          <w:szCs w:val="24"/>
        </w:rPr>
      </w:pPr>
    </w:p>
    <w:p w:rsidR="00A779B8" w:rsidRPr="00C7097B" w:rsidP="00A779B8">
      <w:pPr>
        <w:pStyle w:val="Default"/>
        <w:rPr>
          <w:rFonts w:asciiTheme="minorHAnsi" w:hAnsiTheme="minorHAnsi" w:cstheme="minorHAnsi"/>
          <w:b/>
          <w:i/>
          <w:color w:val="auto"/>
        </w:rPr>
      </w:pPr>
      <w:r w:rsidRPr="00C7097B">
        <w:rPr>
          <w:rFonts w:asciiTheme="minorHAnsi" w:hAnsiTheme="minorHAnsi" w:cstheme="minorHAnsi"/>
          <w:b/>
          <w:i/>
          <w:color w:val="auto"/>
        </w:rPr>
        <w:t>À Comissão de Justiça e Redação,</w:t>
      </w:r>
    </w:p>
    <w:p w:rsidR="00A779B8" w:rsidRPr="00C7097B" w:rsidP="00A779B8">
      <w:pPr>
        <w:pStyle w:val="Default"/>
        <w:rPr>
          <w:rFonts w:asciiTheme="minorHAnsi" w:hAnsiTheme="minorHAnsi" w:cstheme="minorHAnsi"/>
          <w:b/>
          <w:i/>
          <w:color w:val="auto"/>
        </w:rPr>
      </w:pPr>
      <w:r w:rsidRPr="00C7097B">
        <w:rPr>
          <w:rFonts w:asciiTheme="minorHAnsi" w:hAnsiTheme="minorHAnsi" w:cstheme="minorHAnsi"/>
          <w:b/>
          <w:i/>
          <w:color w:val="auto"/>
        </w:rPr>
        <w:t>Exmo. Presidente Sidmar Rodrigo Toloi.</w:t>
      </w:r>
    </w:p>
    <w:p w:rsidR="00A779B8" w:rsidRPr="00C7097B" w:rsidP="00A779B8">
      <w:pPr>
        <w:pStyle w:val="Default"/>
        <w:rPr>
          <w:rFonts w:asciiTheme="minorHAnsi" w:hAnsiTheme="minorHAnsi" w:cstheme="minorHAnsi"/>
          <w:b/>
          <w:i/>
          <w:color w:val="auto"/>
        </w:rPr>
      </w:pPr>
    </w:p>
    <w:p w:rsidR="00C635CA" w:rsidRPr="00C7097B" w:rsidP="00A779B8">
      <w:pPr>
        <w:pStyle w:val="Default"/>
        <w:rPr>
          <w:rFonts w:asciiTheme="minorHAnsi" w:hAnsiTheme="minorHAnsi" w:cstheme="minorHAnsi"/>
          <w:b/>
          <w:i/>
          <w:color w:val="auto"/>
        </w:rPr>
      </w:pPr>
    </w:p>
    <w:p w:rsidR="00A779B8" w:rsidRPr="00C7097B" w:rsidP="00A779B8">
      <w:pPr>
        <w:pStyle w:val="Default"/>
        <w:rPr>
          <w:rFonts w:asciiTheme="minorHAnsi" w:hAnsiTheme="minorHAnsi" w:cstheme="minorHAnsi"/>
          <w:b/>
          <w:i/>
          <w:color w:val="auto"/>
        </w:rPr>
      </w:pPr>
    </w:p>
    <w:p w:rsidR="00A779B8" w:rsidRPr="00C7097B" w:rsidP="00C635CA">
      <w:pPr>
        <w:pStyle w:val="Default"/>
        <w:ind w:firstLine="1701"/>
        <w:rPr>
          <w:rFonts w:asciiTheme="minorHAnsi" w:hAnsiTheme="minorHAnsi" w:cstheme="minorHAnsi"/>
          <w:b/>
          <w:i/>
          <w:color w:val="auto"/>
        </w:rPr>
      </w:pPr>
    </w:p>
    <w:p w:rsidR="00303558" w:rsidRPr="000006EF" w:rsidP="000006EF">
      <w:pPr>
        <w:pStyle w:val="Default"/>
        <w:spacing w:after="240" w:line="360" w:lineRule="auto"/>
        <w:ind w:firstLine="1701"/>
        <w:rPr>
          <w:rFonts w:asciiTheme="minorHAnsi" w:hAnsiTheme="minorHAnsi" w:cstheme="minorHAnsi"/>
          <w:i/>
          <w:color w:val="auto"/>
        </w:rPr>
      </w:pPr>
      <w:r w:rsidRPr="00C7097B">
        <w:rPr>
          <w:rFonts w:asciiTheme="minorHAnsi" w:hAnsiTheme="minorHAnsi" w:cstheme="minorHAnsi"/>
        </w:rPr>
        <w:t xml:space="preserve">Trata-se de parecer jurídico relativo </w:t>
      </w:r>
      <w:r w:rsidR="00320AAD">
        <w:rPr>
          <w:rFonts w:asciiTheme="minorHAnsi" w:hAnsiTheme="minorHAnsi" w:cstheme="minorHAnsi"/>
        </w:rPr>
        <w:t>ao projeto</w:t>
      </w:r>
      <w:r w:rsidRPr="00C7097B">
        <w:rPr>
          <w:rFonts w:asciiTheme="minorHAnsi" w:hAnsiTheme="minorHAnsi" w:cstheme="minorHAnsi"/>
        </w:rPr>
        <w:t xml:space="preserve"> em epígrafe </w:t>
      </w:r>
      <w:r w:rsidRPr="00C7097B">
        <w:rPr>
          <w:rFonts w:asciiTheme="minorHAnsi" w:hAnsiTheme="minorHAnsi" w:cstheme="minorHAnsi"/>
        </w:rPr>
        <w:t xml:space="preserve">que </w:t>
      </w:r>
      <w:r w:rsidRPr="00C7097B" w:rsidR="00C26555">
        <w:rPr>
          <w:rFonts w:asciiTheme="minorHAnsi" w:hAnsiTheme="minorHAnsi" w:cstheme="minorHAnsi"/>
          <w:i/>
        </w:rPr>
        <w:t>“</w:t>
      </w:r>
      <w:r w:rsidRPr="000006EF" w:rsidR="000006EF">
        <w:rPr>
          <w:rFonts w:asciiTheme="minorHAnsi" w:hAnsiTheme="minorHAnsi" w:cstheme="minorHAnsi"/>
          <w:i/>
          <w:color w:val="auto"/>
        </w:rPr>
        <w:t>Autoriza a revisão das contratualizações firmadas pelo Poder Público junto as entidades do terceiro setor, pela ocasião da majoração de seus custos, decorrentes das revisões dos encargos trabalhistas, quando aprovados nas convenções coletivas na forma que especifica e dá outras</w:t>
      </w:r>
      <w:r w:rsidRPr="00E41473" w:rsidR="00E41473">
        <w:rPr>
          <w:rFonts w:asciiTheme="minorHAnsi" w:hAnsiTheme="minorHAnsi" w:cstheme="minorHAnsi"/>
          <w:i/>
          <w:color w:val="auto"/>
        </w:rPr>
        <w:t xml:space="preserve">” </w:t>
      </w:r>
      <w:r w:rsidRPr="00E41473" w:rsidR="00C26555">
        <w:rPr>
          <w:rFonts w:asciiTheme="minorHAnsi" w:hAnsiTheme="minorHAnsi" w:cstheme="minorHAnsi"/>
          <w:i/>
        </w:rPr>
        <w:t>.</w:t>
      </w:r>
    </w:p>
    <w:p w:rsidR="00A779B8" w:rsidRPr="00C7097B" w:rsidP="00C635CA">
      <w:pPr>
        <w:pStyle w:val="Default"/>
        <w:spacing w:after="240" w:line="360" w:lineRule="auto"/>
        <w:ind w:firstLine="1701"/>
        <w:rPr>
          <w:rFonts w:asciiTheme="minorHAnsi" w:hAnsiTheme="minorHAnsi" w:cstheme="minorHAnsi"/>
        </w:rPr>
      </w:pPr>
      <w:r w:rsidRPr="00C7097B">
        <w:rPr>
          <w:rFonts w:asciiTheme="minorHAnsi" w:hAnsiTheme="minorHAnsi" w:cstheme="minorHAnsi"/>
          <w:i/>
        </w:rPr>
        <w:t>Ab initio</w:t>
      </w:r>
      <w:r w:rsidRPr="00C7097B">
        <w:rPr>
          <w:rFonts w:asciiTheme="minorHAnsi" w:hAnsiTheme="minorHAnsi" w:cstheme="minorHAnsi"/>
        </w:rPr>
        <w:t xml:space="preserve">, cumpre destacar </w:t>
      </w:r>
      <w:r w:rsidRPr="00C7097B">
        <w:rPr>
          <w:rFonts w:asciiTheme="minorHAnsi" w:hAnsiTheme="minorHAnsi" w:cstheme="minorHAnsi"/>
          <w:u w:val="single"/>
        </w:rPr>
        <w:t>a competência</w:t>
      </w:r>
      <w:r w:rsidRPr="00C7097B">
        <w:rPr>
          <w:rFonts w:asciiTheme="minorHAnsi" w:hAnsiTheme="minorHAnsi" w:cstheme="minorHAnsi"/>
        </w:rPr>
        <w:t xml:space="preserve"> regimental da Comissão de Justiça e Redação, estabelecida no artigo 38.</w:t>
      </w:r>
    </w:p>
    <w:p w:rsidR="00A779B8" w:rsidRPr="00C7097B" w:rsidP="00C635CA">
      <w:pPr>
        <w:spacing w:after="120" w:line="360" w:lineRule="auto"/>
        <w:ind w:firstLine="1701"/>
        <w:rPr>
          <w:rFonts w:asciiTheme="minorHAnsi" w:hAnsiTheme="minorHAnsi" w:cstheme="minorHAnsi"/>
        </w:rPr>
      </w:pPr>
      <w:r w:rsidRPr="00C7097B">
        <w:rPr>
          <w:rFonts w:asciiTheme="minorHAnsi" w:hAnsiTheme="minorHAnsi" w:cstheme="minorHAnsi"/>
          <w:szCs w:val="24"/>
        </w:rPr>
        <w:t xml:space="preserve">Outrossim, ressalta-se que a opinião jurídica exarada neste parecer </w:t>
      </w:r>
      <w:r w:rsidRPr="00C7097B">
        <w:rPr>
          <w:rFonts w:asciiTheme="minorHAnsi" w:hAnsiTheme="minorHAnsi" w:cstheme="minorHAnsi"/>
          <w:b/>
          <w:szCs w:val="24"/>
        </w:rPr>
        <w:t>não tem força vinculante,</w:t>
      </w:r>
      <w:r w:rsidRPr="00C7097B">
        <w:rPr>
          <w:rFonts w:asciiTheme="minorHAnsi" w:hAnsiTheme="minorHAnsi" w:cstheme="minorHAnsi"/>
          <w:szCs w:val="24"/>
        </w:rPr>
        <w:t xml:space="preserve"> sendo meramente opinativo não fundamentando decisão proferida pelas Comissões e/ou nobres vereadores.</w:t>
      </w:r>
      <w:r w:rsidRPr="00C7097B" w:rsidR="009D2232">
        <w:rPr>
          <w:rFonts w:asciiTheme="minorHAnsi" w:hAnsiTheme="minorHAnsi" w:cstheme="minorHAnsi"/>
          <w:szCs w:val="24"/>
        </w:rPr>
        <w:t xml:space="preserve"> </w:t>
      </w:r>
      <w:r w:rsidRPr="00C7097B">
        <w:rPr>
          <w:rFonts w:asciiTheme="minorHAnsi" w:hAnsiTheme="minorHAnsi" w:cstheme="minorHAnsi"/>
        </w:rPr>
        <w:t xml:space="preserve">Nesse sentido é o entendimento do Supremo Tribunal Federal: </w:t>
      </w:r>
    </w:p>
    <w:p w:rsidR="00A779B8" w:rsidRPr="00C7097B" w:rsidP="00432783">
      <w:pPr>
        <w:pStyle w:val="Default"/>
        <w:spacing w:line="276" w:lineRule="auto"/>
        <w:ind w:left="2835"/>
        <w:rPr>
          <w:rFonts w:asciiTheme="minorHAnsi" w:hAnsiTheme="minorHAnsi" w:cstheme="minorHAnsi"/>
          <w:i/>
          <w:sz w:val="22"/>
          <w:szCs w:val="22"/>
        </w:rPr>
      </w:pPr>
      <w:r w:rsidRPr="00C7097B">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w:t>
      </w:r>
      <w:r w:rsidRPr="00C7097B">
        <w:rPr>
          <w:rFonts w:asciiTheme="minorHAnsi" w:hAnsiTheme="minorHAnsi" w:cstheme="minorHAnsi"/>
          <w:i/>
          <w:sz w:val="22"/>
          <w:szCs w:val="22"/>
        </w:rPr>
        <w:t xml:space="preserve">execução ex oficio da lei. Na oportunidade do julgamento, porquanto envolvido na espécie simples parecer, ou seja, ato opinativo que poderia ser, ou não, considerado pelo administrador.” (Mandado de Segurança n° 24.584-1 - Distrito Federal - Relator: Min. Marco Aurélio de Mello – STF.) </w:t>
      </w:r>
    </w:p>
    <w:p w:rsidR="00C635CA" w:rsidRPr="00C7097B" w:rsidP="00C635CA">
      <w:pPr>
        <w:pStyle w:val="Default"/>
        <w:spacing w:line="276" w:lineRule="auto"/>
        <w:ind w:left="2268"/>
        <w:rPr>
          <w:rFonts w:asciiTheme="minorHAnsi" w:hAnsiTheme="minorHAnsi" w:cstheme="minorHAnsi"/>
          <w:i/>
          <w:sz w:val="22"/>
          <w:szCs w:val="22"/>
        </w:rPr>
      </w:pPr>
    </w:p>
    <w:p w:rsidR="00A779B8" w:rsidRPr="00C7097B" w:rsidP="00C635CA">
      <w:pPr>
        <w:tabs>
          <w:tab w:val="left" w:pos="1701"/>
        </w:tabs>
        <w:spacing w:after="240" w:line="360" w:lineRule="auto"/>
        <w:ind w:firstLine="1701"/>
        <w:rPr>
          <w:rFonts w:eastAsia="Calibri" w:asciiTheme="minorHAnsi" w:hAnsiTheme="minorHAnsi" w:cstheme="minorHAnsi"/>
          <w:color w:val="000000"/>
          <w:szCs w:val="24"/>
        </w:rPr>
      </w:pPr>
      <w:r w:rsidRPr="00C7097B">
        <w:rPr>
          <w:rFonts w:eastAsia="Calibri" w:asciiTheme="minorHAnsi" w:hAnsiTheme="minorHAnsi" w:cstheme="minorHAnsi"/>
          <w:color w:val="000000"/>
          <w:szCs w:val="24"/>
        </w:rPr>
        <w:t xml:space="preserve">Desta feita, considerando os aspectos jurídicos passamos a </w:t>
      </w:r>
      <w:r w:rsidRPr="001F3662">
        <w:rPr>
          <w:rFonts w:eastAsia="Calibri" w:asciiTheme="minorHAnsi" w:hAnsiTheme="minorHAnsi" w:cstheme="minorHAnsi"/>
          <w:b/>
          <w:color w:val="000000"/>
          <w:szCs w:val="24"/>
        </w:rPr>
        <w:t>análise técnica</w:t>
      </w:r>
      <w:r w:rsidRPr="00C7097B">
        <w:rPr>
          <w:rFonts w:eastAsia="Calibri" w:asciiTheme="minorHAnsi" w:hAnsiTheme="minorHAnsi" w:cstheme="minorHAnsi"/>
          <w:color w:val="000000"/>
          <w:szCs w:val="24"/>
        </w:rPr>
        <w:t xml:space="preserve"> do projeto em epígrafe solicitado.</w:t>
      </w:r>
    </w:p>
    <w:p w:rsidR="001F3662" w:rsidRPr="00DF2C1A" w:rsidP="001F3662">
      <w:pPr>
        <w:pStyle w:val="Default"/>
        <w:spacing w:after="240" w:line="360" w:lineRule="auto"/>
        <w:ind w:firstLine="1701"/>
        <w:rPr>
          <w:rFonts w:asciiTheme="minorHAnsi" w:hAnsiTheme="minorHAnsi" w:cstheme="minorHAnsi"/>
          <w:i/>
          <w:color w:val="auto"/>
        </w:rPr>
      </w:pPr>
      <w:r w:rsidRPr="00DF2C1A">
        <w:rPr>
          <w:rFonts w:asciiTheme="minorHAnsi" w:hAnsiTheme="minorHAnsi" w:cstheme="minorHAnsi"/>
          <w:color w:val="auto"/>
        </w:rPr>
        <w:t xml:space="preserve">A proposta em exame, no que tange à </w:t>
      </w:r>
      <w:r w:rsidRPr="00AD2EF4">
        <w:rPr>
          <w:rFonts w:asciiTheme="minorHAnsi" w:hAnsiTheme="minorHAnsi" w:cstheme="minorHAnsi"/>
          <w:b/>
          <w:color w:val="auto"/>
        </w:rPr>
        <w:t>competência municipal,</w:t>
      </w:r>
      <w:r w:rsidRPr="00DF2C1A">
        <w:rPr>
          <w:rFonts w:asciiTheme="minorHAnsi" w:hAnsiTheme="minorHAnsi" w:cstheme="minorHAnsi"/>
          <w:color w:val="auto"/>
        </w:rPr>
        <w:t xml:space="preserve"> afigura-se revestida de </w:t>
      </w:r>
      <w:r w:rsidRPr="00FA652F">
        <w:rPr>
          <w:rFonts w:asciiTheme="minorHAnsi" w:hAnsiTheme="minorHAnsi" w:cstheme="minorHAnsi"/>
          <w:b/>
          <w:color w:val="auto"/>
        </w:rPr>
        <w:t>constitucionalidade,</w:t>
      </w:r>
      <w:r w:rsidRPr="00DF2C1A">
        <w:rPr>
          <w:rFonts w:asciiTheme="minorHAnsi" w:hAnsiTheme="minorHAnsi" w:cstheme="minorHAnsi"/>
          <w:color w:val="auto"/>
        </w:rPr>
        <w:t xml:space="preserve"> pois por força da Constituição Federal os Municípios foram dotados de autonomia legislativa, que vem consubstanciada na capacidade de legislar sobre assuntos de inter</w:t>
      </w:r>
      <w:r>
        <w:rPr>
          <w:rFonts w:asciiTheme="minorHAnsi" w:hAnsiTheme="minorHAnsi" w:cstheme="minorHAnsi"/>
          <w:color w:val="auto"/>
        </w:rPr>
        <w:t xml:space="preserve">esse local </w:t>
      </w:r>
      <w:r w:rsidRPr="00DF2C1A">
        <w:rPr>
          <w:rFonts w:asciiTheme="minorHAnsi" w:hAnsiTheme="minorHAnsi" w:cstheme="minorHAnsi"/>
          <w:color w:val="auto"/>
        </w:rPr>
        <w:t xml:space="preserve">(art. 30, I, da CRFB), </w:t>
      </w:r>
      <w:r w:rsidRPr="00DF2C1A">
        <w:rPr>
          <w:rFonts w:asciiTheme="minorHAnsi" w:hAnsiTheme="minorHAnsi" w:cstheme="minorHAnsi"/>
          <w:i/>
          <w:color w:val="auto"/>
        </w:rPr>
        <w:t>in verbis:</w:t>
      </w:r>
    </w:p>
    <w:p w:rsidR="001F3662" w:rsidRPr="001F3662" w:rsidP="001F3662">
      <w:pPr>
        <w:autoSpaceDE w:val="0"/>
        <w:autoSpaceDN w:val="0"/>
        <w:adjustRightInd w:val="0"/>
        <w:spacing w:before="120" w:line="300" w:lineRule="auto"/>
        <w:ind w:left="2835"/>
        <w:rPr>
          <w:rFonts w:asciiTheme="minorHAnsi" w:hAnsiTheme="minorHAnsi" w:cstheme="minorHAnsi"/>
          <w:i/>
          <w:sz w:val="22"/>
          <w:szCs w:val="22"/>
        </w:rPr>
      </w:pPr>
      <w:r w:rsidRPr="001F3662">
        <w:rPr>
          <w:rFonts w:asciiTheme="minorHAnsi" w:hAnsiTheme="minorHAnsi" w:cstheme="minorHAnsi"/>
          <w:i/>
          <w:sz w:val="22"/>
          <w:szCs w:val="22"/>
        </w:rPr>
        <w:t>Art. 30. Compete aos Municípios:</w:t>
      </w:r>
    </w:p>
    <w:p w:rsidR="001F3662" w:rsidRPr="001F3662" w:rsidP="001F3662">
      <w:pPr>
        <w:pStyle w:val="ListParagraph"/>
        <w:numPr>
          <w:ilvl w:val="0"/>
          <w:numId w:val="6"/>
        </w:numPr>
        <w:autoSpaceDE w:val="0"/>
        <w:autoSpaceDN w:val="0"/>
        <w:adjustRightInd w:val="0"/>
        <w:spacing w:before="120" w:line="300" w:lineRule="auto"/>
        <w:ind w:left="2835" w:firstLine="0"/>
        <w:rPr>
          <w:rFonts w:asciiTheme="minorHAnsi" w:hAnsiTheme="minorHAnsi" w:cstheme="minorHAnsi"/>
          <w:i/>
          <w:sz w:val="22"/>
          <w:szCs w:val="22"/>
        </w:rPr>
      </w:pPr>
      <w:r w:rsidRPr="001F3662">
        <w:rPr>
          <w:rFonts w:asciiTheme="minorHAnsi" w:hAnsiTheme="minorHAnsi" w:cstheme="minorHAnsi"/>
          <w:i/>
          <w:sz w:val="22"/>
          <w:szCs w:val="22"/>
        </w:rPr>
        <w:t xml:space="preserve"> legislar sobre assuntos de interesse local</w:t>
      </w:r>
    </w:p>
    <w:p w:rsidR="001F3662" w:rsidP="001F3662">
      <w:pPr>
        <w:autoSpaceDE w:val="0"/>
        <w:autoSpaceDN w:val="0"/>
        <w:adjustRightInd w:val="0"/>
        <w:spacing w:before="120" w:line="300" w:lineRule="auto"/>
        <w:ind w:left="2835"/>
        <w:rPr>
          <w:rFonts w:asciiTheme="minorHAnsi" w:hAnsiTheme="minorHAnsi" w:cstheme="minorHAnsi"/>
          <w:i/>
          <w:sz w:val="22"/>
          <w:szCs w:val="22"/>
        </w:rPr>
      </w:pPr>
      <w:r w:rsidRPr="001F3662">
        <w:rPr>
          <w:rFonts w:asciiTheme="minorHAnsi" w:hAnsiTheme="minorHAnsi" w:cstheme="minorHAnsi"/>
          <w:i/>
          <w:sz w:val="22"/>
          <w:szCs w:val="22"/>
        </w:rPr>
        <w:t xml:space="preserve">(...) </w:t>
      </w:r>
    </w:p>
    <w:p w:rsidR="001F3662" w:rsidRPr="001F3662" w:rsidP="001F3662">
      <w:pPr>
        <w:autoSpaceDE w:val="0"/>
        <w:autoSpaceDN w:val="0"/>
        <w:adjustRightInd w:val="0"/>
        <w:spacing w:before="120" w:line="300" w:lineRule="auto"/>
        <w:ind w:left="2835"/>
        <w:rPr>
          <w:rFonts w:asciiTheme="minorHAnsi" w:hAnsiTheme="minorHAnsi" w:cstheme="minorHAnsi"/>
          <w:i/>
          <w:sz w:val="22"/>
          <w:szCs w:val="22"/>
        </w:rPr>
      </w:pPr>
    </w:p>
    <w:p w:rsidR="00C635CA" w:rsidRPr="00C7097B" w:rsidP="00C635CA">
      <w:pPr>
        <w:spacing w:after="240" w:line="360" w:lineRule="auto"/>
        <w:ind w:firstLine="1701"/>
        <w:rPr>
          <w:rFonts w:asciiTheme="minorHAnsi" w:hAnsiTheme="minorHAnsi" w:cstheme="minorHAnsi"/>
          <w:szCs w:val="24"/>
        </w:rPr>
      </w:pPr>
      <w:r w:rsidRPr="00C7097B">
        <w:rPr>
          <w:rFonts w:asciiTheme="minorHAnsi" w:hAnsiTheme="minorHAnsi" w:cstheme="minorHAnsi"/>
          <w:szCs w:val="24"/>
        </w:rPr>
        <w:t>Nessa linha, a Lei Orgânica do Município de Valinhos estabelece:</w:t>
      </w:r>
    </w:p>
    <w:p w:rsidR="00C635CA" w:rsidRPr="00C7097B" w:rsidP="00432783">
      <w:pPr>
        <w:spacing w:after="240" w:line="300" w:lineRule="auto"/>
        <w:ind w:left="2835"/>
        <w:rPr>
          <w:rFonts w:asciiTheme="minorHAnsi" w:hAnsiTheme="minorHAnsi" w:cstheme="minorHAnsi"/>
          <w:i/>
          <w:sz w:val="22"/>
          <w:szCs w:val="22"/>
        </w:rPr>
      </w:pPr>
      <w:r w:rsidRPr="00C7097B">
        <w:rPr>
          <w:rFonts w:asciiTheme="minorHAnsi" w:hAnsiTheme="minorHAnsi" w:cstheme="minorHAnsi"/>
          <w:i/>
          <w:sz w:val="22"/>
          <w:szCs w:val="22"/>
        </w:rPr>
        <w:t xml:space="preserve">“Art. 5º Compete ao Município, no exercício de sua autonomia, </w:t>
      </w:r>
      <w:r w:rsidRPr="00C7097B">
        <w:rPr>
          <w:rFonts w:asciiTheme="minorHAnsi" w:hAnsiTheme="minorHAnsi" w:cstheme="minorHAnsi"/>
          <w:b/>
          <w:i/>
          <w:sz w:val="22"/>
          <w:szCs w:val="22"/>
          <w:u w:val="single"/>
        </w:rPr>
        <w:t>legislar sobre tudo quanto respeite ao interesse local,</w:t>
      </w:r>
      <w:r w:rsidRPr="00C7097B">
        <w:rPr>
          <w:rFonts w:asciiTheme="minorHAnsi" w:hAnsiTheme="minorHAnsi" w:cstheme="minorHAnsi"/>
          <w:i/>
          <w:sz w:val="22"/>
          <w:szCs w:val="22"/>
          <w:u w:val="single"/>
        </w:rPr>
        <w:t xml:space="preserve"> </w:t>
      </w:r>
      <w:r w:rsidRPr="00C7097B">
        <w:rPr>
          <w:rFonts w:asciiTheme="minorHAnsi" w:hAnsiTheme="minorHAnsi" w:cstheme="minorHAnsi"/>
          <w:i/>
          <w:sz w:val="22"/>
          <w:szCs w:val="22"/>
        </w:rPr>
        <w:t>tendo como objetivo o pleno desenvolvimento de suas funções sociais e garantir o bem-estar de seus habitantes, cabendo-lhe privativamente, entre outras, as seguintes atribuições:”</w:t>
      </w:r>
    </w:p>
    <w:p w:rsidR="00C635CA" w:rsidRPr="00C7097B" w:rsidP="00432783">
      <w:pPr>
        <w:spacing w:after="240" w:line="300" w:lineRule="auto"/>
        <w:ind w:left="2835"/>
        <w:rPr>
          <w:rFonts w:asciiTheme="minorHAnsi" w:hAnsiTheme="minorHAnsi" w:cstheme="minorHAnsi"/>
          <w:i/>
          <w:sz w:val="22"/>
          <w:szCs w:val="22"/>
        </w:rPr>
      </w:pPr>
      <w:r w:rsidRPr="00C7097B">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C635CA" w:rsidRPr="00C7097B" w:rsidP="00432783">
      <w:pPr>
        <w:spacing w:after="240" w:line="300" w:lineRule="auto"/>
        <w:ind w:left="2835"/>
        <w:rPr>
          <w:rFonts w:asciiTheme="minorHAnsi" w:hAnsiTheme="minorHAnsi" w:cstheme="minorHAnsi"/>
          <w:b/>
          <w:i/>
          <w:sz w:val="22"/>
          <w:szCs w:val="22"/>
        </w:rPr>
      </w:pPr>
      <w:r w:rsidRPr="00C7097B">
        <w:rPr>
          <w:rFonts w:asciiTheme="minorHAnsi" w:hAnsiTheme="minorHAnsi" w:cstheme="minorHAnsi"/>
          <w:b/>
          <w:i/>
          <w:sz w:val="22"/>
          <w:szCs w:val="22"/>
        </w:rPr>
        <w:t>I - legislar sobre assuntos de interesse local;”</w:t>
      </w:r>
    </w:p>
    <w:p w:rsidR="00C635CA" w:rsidRPr="00C7097B" w:rsidP="00C635CA">
      <w:pPr>
        <w:autoSpaceDE w:val="0"/>
        <w:autoSpaceDN w:val="0"/>
        <w:adjustRightInd w:val="0"/>
        <w:spacing w:line="360" w:lineRule="auto"/>
        <w:ind w:firstLine="1701"/>
        <w:rPr>
          <w:rFonts w:asciiTheme="minorHAnsi" w:hAnsiTheme="minorHAnsi" w:cstheme="minorHAnsi"/>
          <w:szCs w:val="24"/>
        </w:rPr>
      </w:pPr>
      <w:r w:rsidRPr="00C7097B">
        <w:rPr>
          <w:rFonts w:asciiTheme="minorHAnsi" w:hAnsiTheme="minorHAnsi" w:cstheme="minorHAnsi"/>
          <w:szCs w:val="24"/>
        </w:rPr>
        <w:t xml:space="preserve">    Acerca do conceito de interesse local o saudoso professor Hely Lopes Meirelles leciona:</w:t>
      </w:r>
    </w:p>
    <w:p w:rsidR="00C635CA" w:rsidRPr="00C7097B" w:rsidP="00432783">
      <w:pPr>
        <w:autoSpaceDE w:val="0"/>
        <w:autoSpaceDN w:val="0"/>
        <w:adjustRightInd w:val="0"/>
        <w:ind w:left="2835"/>
        <w:rPr>
          <w:rFonts w:eastAsia="Calibri" w:asciiTheme="minorHAnsi" w:hAnsiTheme="minorHAnsi" w:cstheme="minorHAnsi"/>
          <w:i/>
          <w:color w:val="000000"/>
          <w:sz w:val="22"/>
          <w:szCs w:val="22"/>
        </w:rPr>
      </w:pPr>
      <w:r w:rsidRPr="00C7097B">
        <w:rPr>
          <w:rFonts w:eastAsia="Calibri" w:asciiTheme="minorHAnsi" w:hAnsiTheme="minorHAnsi" w:cstheme="minorHAnsi"/>
          <w:i/>
          <w:color w:val="000000"/>
          <w:sz w:val="22"/>
          <w:szCs w:val="22"/>
        </w:rPr>
        <w:t xml:space="preserve">"Interesse local não é interesse exclusivo do Município; não é interesse privativo da localidade; não é interesse único dos municípios. Se se exigisse essa exclusividade, essa privatividade, essa unicidade, bem reduzido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C7097B">
        <w:rPr>
          <w:rFonts w:eastAsia="Calibri" w:asciiTheme="minorHAnsi" w:hAnsiTheme="minorHAnsi" w:cstheme="minorHAnsi"/>
          <w:b/>
          <w:i/>
          <w:color w:val="000000"/>
          <w:sz w:val="22"/>
          <w:szCs w:val="22"/>
        </w:rPr>
        <w:t xml:space="preserve">O que define e caracteriza o 'interesse local', inscrito como dogma constitucional, é a predominância do interesse do Município sobre o do Estado ou da </w:t>
      </w:r>
      <w:r w:rsidRPr="00C7097B">
        <w:rPr>
          <w:rFonts w:eastAsia="Calibri" w:asciiTheme="minorHAnsi" w:hAnsiTheme="minorHAnsi" w:cstheme="minorHAnsi"/>
          <w:i/>
          <w:color w:val="000000"/>
          <w:sz w:val="22"/>
          <w:szCs w:val="22"/>
        </w:rPr>
        <w:t>União". (gn)</w:t>
      </w:r>
    </w:p>
    <w:p w:rsidR="00C635CA" w:rsidRPr="00C7097B" w:rsidP="00432783">
      <w:pPr>
        <w:autoSpaceDE w:val="0"/>
        <w:autoSpaceDN w:val="0"/>
        <w:adjustRightInd w:val="0"/>
        <w:ind w:left="2835"/>
        <w:rPr>
          <w:rFonts w:eastAsia="Calibri" w:asciiTheme="minorHAnsi" w:hAnsiTheme="minorHAnsi" w:cstheme="minorHAnsi"/>
          <w:i/>
          <w:color w:val="000000"/>
          <w:sz w:val="22"/>
          <w:szCs w:val="22"/>
        </w:rPr>
      </w:pPr>
      <w:r w:rsidRPr="00C7097B">
        <w:rPr>
          <w:rFonts w:eastAsia="Calibri" w:asciiTheme="minorHAnsi" w:hAnsiTheme="minorHAnsi" w:cstheme="minorHAnsi"/>
          <w:i/>
          <w:color w:val="000000"/>
          <w:sz w:val="22"/>
          <w:szCs w:val="22"/>
        </w:rPr>
        <w:t>(in Direito Municipal Brasileiro, 6ª ed., atualizada por Izabel Camargo Lopes Monteiro e Yara Darcy Police Monteiro, 1993, Malheiros, p. 98)</w:t>
      </w:r>
    </w:p>
    <w:p w:rsidR="006C49A0" w:rsidRPr="00C7097B" w:rsidP="00C635CA">
      <w:pPr>
        <w:tabs>
          <w:tab w:val="left" w:pos="1701"/>
        </w:tabs>
        <w:autoSpaceDE w:val="0"/>
        <w:autoSpaceDN w:val="0"/>
        <w:adjustRightInd w:val="0"/>
        <w:spacing w:line="360" w:lineRule="auto"/>
        <w:ind w:firstLine="1701"/>
        <w:rPr>
          <w:rFonts w:asciiTheme="minorHAnsi" w:hAnsiTheme="minorHAnsi" w:cstheme="minorHAnsi"/>
          <w:sz w:val="4"/>
          <w:szCs w:val="4"/>
        </w:rPr>
      </w:pPr>
    </w:p>
    <w:p w:rsidR="00836A3D" w:rsidP="00D906D6">
      <w:pPr>
        <w:rPr>
          <w:rFonts w:asciiTheme="minorHAnsi" w:hAnsiTheme="minorHAnsi" w:cstheme="minorHAnsi"/>
          <w:bCs/>
          <w:i/>
          <w:sz w:val="22"/>
          <w:szCs w:val="22"/>
        </w:rPr>
      </w:pPr>
    </w:p>
    <w:p w:rsidR="00D906D6" w:rsidP="00D906D6">
      <w:pPr>
        <w:rPr>
          <w:rFonts w:asciiTheme="minorHAnsi" w:hAnsiTheme="minorHAnsi" w:cstheme="minorHAnsi"/>
          <w:bCs/>
          <w:i/>
          <w:sz w:val="22"/>
          <w:szCs w:val="22"/>
        </w:rPr>
      </w:pPr>
    </w:p>
    <w:p w:rsidR="00670477" w:rsidRPr="00960DA6" w:rsidP="00670477">
      <w:pPr>
        <w:autoSpaceDE w:val="0"/>
        <w:autoSpaceDN w:val="0"/>
        <w:adjustRightInd w:val="0"/>
        <w:spacing w:after="240" w:line="360" w:lineRule="auto"/>
        <w:ind w:firstLine="1701"/>
        <w:rPr>
          <w:rFonts w:asciiTheme="minorHAnsi" w:hAnsiTheme="minorHAnsi" w:cstheme="minorHAnsi"/>
          <w:szCs w:val="24"/>
        </w:rPr>
      </w:pPr>
      <w:r>
        <w:rPr>
          <w:rFonts w:asciiTheme="minorHAnsi" w:hAnsiTheme="minorHAnsi" w:cstheme="minorHAnsi"/>
          <w:szCs w:val="24"/>
        </w:rPr>
        <w:t xml:space="preserve">Todavia, ao tencionar impor </w:t>
      </w:r>
      <w:r w:rsidRPr="00670477">
        <w:rPr>
          <w:rFonts w:asciiTheme="minorHAnsi" w:hAnsiTheme="minorHAnsi" w:cstheme="minorHAnsi"/>
          <w:szCs w:val="24"/>
        </w:rPr>
        <w:t>a revisão do</w:t>
      </w:r>
      <w:r w:rsidR="000006EF">
        <w:rPr>
          <w:rFonts w:asciiTheme="minorHAnsi" w:hAnsiTheme="minorHAnsi" w:cstheme="minorHAnsi"/>
          <w:szCs w:val="24"/>
        </w:rPr>
        <w:t xml:space="preserve">s repasses no mesmo percentual </w:t>
      </w:r>
      <w:r w:rsidRPr="00670477">
        <w:rPr>
          <w:rFonts w:asciiTheme="minorHAnsi" w:hAnsiTheme="minorHAnsi" w:cstheme="minorHAnsi"/>
          <w:szCs w:val="24"/>
        </w:rPr>
        <w:t>definido nas convenções coletivas sindicais que a entidade contratada estiver vinculada</w:t>
      </w:r>
      <w:r w:rsidR="000006EF">
        <w:rPr>
          <w:rFonts w:asciiTheme="minorHAnsi" w:hAnsiTheme="minorHAnsi" w:cstheme="minorHAnsi"/>
          <w:szCs w:val="24"/>
        </w:rPr>
        <w:t xml:space="preserve"> </w:t>
      </w:r>
      <w:r w:rsidRPr="00960DA6">
        <w:rPr>
          <w:rFonts w:asciiTheme="minorHAnsi" w:hAnsiTheme="minorHAnsi" w:cstheme="minorHAnsi"/>
          <w:szCs w:val="24"/>
        </w:rPr>
        <w:t>acaba por invadir a esfera reservada ao Executivo afrontando</w:t>
      </w:r>
      <w:r w:rsidRPr="00960DA6">
        <w:rPr>
          <w:rFonts w:asciiTheme="minorHAnsi" w:hAnsiTheme="minorHAnsi" w:cstheme="minorHAnsi"/>
          <w:b/>
          <w:szCs w:val="24"/>
        </w:rPr>
        <w:t xml:space="preserve"> </w:t>
      </w:r>
      <w:r w:rsidRPr="00960DA6">
        <w:rPr>
          <w:rFonts w:eastAsia="Calibri" w:asciiTheme="minorHAnsi" w:hAnsiTheme="minorHAnsi" w:cstheme="minorHAnsi"/>
          <w:b/>
          <w:szCs w:val="24"/>
        </w:rPr>
        <w:t xml:space="preserve">o postulado da separação dos poderes e a denominada regra da reserva de Administração </w:t>
      </w:r>
      <w:r w:rsidRPr="00960DA6">
        <w:rPr>
          <w:rFonts w:eastAsia="Calibri" w:asciiTheme="minorHAnsi" w:hAnsiTheme="minorHAnsi" w:cstheme="minorHAnsi"/>
          <w:szCs w:val="24"/>
        </w:rPr>
        <w:t>e, consequentemente, maculando os</w:t>
      </w:r>
      <w:r w:rsidRPr="00960DA6">
        <w:rPr>
          <w:rFonts w:eastAsia="Calibri" w:asciiTheme="minorHAnsi" w:hAnsiTheme="minorHAnsi" w:cstheme="minorHAnsi"/>
          <w:b/>
          <w:szCs w:val="24"/>
        </w:rPr>
        <w:t xml:space="preserve"> artigos 5º, e 47, incisos II e XIV, da Constituição Estadual</w:t>
      </w:r>
      <w:r w:rsidRPr="00960DA6">
        <w:rPr>
          <w:rFonts w:eastAsia="Calibri" w:asciiTheme="minorHAnsi" w:hAnsiTheme="minorHAnsi" w:cstheme="minorHAnsi"/>
          <w:szCs w:val="24"/>
        </w:rPr>
        <w:t xml:space="preserve">, que constituem dispositivos de observância obrigatória aos Municípios, in </w:t>
      </w:r>
      <w:r w:rsidRPr="00960DA6">
        <w:rPr>
          <w:rFonts w:eastAsia="Calibri" w:asciiTheme="minorHAnsi" w:hAnsiTheme="minorHAnsi" w:cstheme="minorHAnsi"/>
          <w:i/>
          <w:iCs/>
          <w:szCs w:val="24"/>
        </w:rPr>
        <w:t>verbis:</w:t>
      </w:r>
    </w:p>
    <w:p w:rsidR="00670477" w:rsidRPr="003F3AC5" w:rsidP="00670477">
      <w:pPr>
        <w:autoSpaceDE w:val="0"/>
        <w:autoSpaceDN w:val="0"/>
        <w:adjustRightInd w:val="0"/>
        <w:ind w:left="2835"/>
        <w:rPr>
          <w:rFonts w:eastAsia="Calibri" w:asciiTheme="minorHAnsi" w:hAnsiTheme="minorHAnsi" w:cstheme="minorHAnsi"/>
          <w:bCs/>
          <w:i/>
          <w:iCs/>
          <w:sz w:val="22"/>
          <w:szCs w:val="22"/>
        </w:rPr>
      </w:pPr>
      <w:r w:rsidRPr="003F3AC5">
        <w:rPr>
          <w:rFonts w:eastAsia="Calibri" w:asciiTheme="minorHAnsi" w:hAnsiTheme="minorHAnsi" w:cstheme="minorHAnsi"/>
          <w:bCs/>
          <w:i/>
          <w:iCs/>
          <w:sz w:val="22"/>
          <w:szCs w:val="22"/>
        </w:rPr>
        <w:t>“Art. 5º - São Poderes do Estado, independentes e harmônicos entre si, o Legislativo, o Executivo e o Judiciário.”</w:t>
      </w:r>
    </w:p>
    <w:p w:rsidR="00670477" w:rsidRPr="003F3AC5" w:rsidP="00670477">
      <w:pPr>
        <w:autoSpaceDE w:val="0"/>
        <w:autoSpaceDN w:val="0"/>
        <w:adjustRightInd w:val="0"/>
        <w:ind w:left="2835"/>
        <w:rPr>
          <w:rFonts w:eastAsia="Calibri" w:asciiTheme="minorHAnsi" w:hAnsiTheme="minorHAnsi" w:cstheme="minorHAnsi"/>
          <w:bCs/>
          <w:i/>
          <w:iCs/>
          <w:sz w:val="22"/>
          <w:szCs w:val="22"/>
        </w:rPr>
      </w:pPr>
    </w:p>
    <w:p w:rsidR="00670477" w:rsidRPr="003F3AC5" w:rsidP="00670477">
      <w:pPr>
        <w:autoSpaceDE w:val="0"/>
        <w:autoSpaceDN w:val="0"/>
        <w:adjustRightInd w:val="0"/>
        <w:ind w:left="2835"/>
        <w:rPr>
          <w:rFonts w:eastAsia="Calibri" w:asciiTheme="minorHAnsi" w:hAnsiTheme="minorHAnsi" w:cstheme="minorHAnsi"/>
          <w:bCs/>
          <w:i/>
          <w:iCs/>
          <w:sz w:val="22"/>
          <w:szCs w:val="22"/>
        </w:rPr>
      </w:pPr>
      <w:r w:rsidRPr="003F3AC5">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670477" w:rsidRPr="003F3AC5" w:rsidP="00670477">
      <w:pPr>
        <w:autoSpaceDE w:val="0"/>
        <w:autoSpaceDN w:val="0"/>
        <w:adjustRightInd w:val="0"/>
        <w:ind w:left="2835"/>
        <w:rPr>
          <w:rFonts w:eastAsia="Calibri" w:asciiTheme="minorHAnsi" w:hAnsiTheme="minorHAnsi" w:cstheme="minorHAnsi"/>
          <w:bCs/>
          <w:i/>
          <w:iCs/>
          <w:sz w:val="22"/>
          <w:szCs w:val="22"/>
        </w:rPr>
      </w:pPr>
      <w:r w:rsidRPr="003F3AC5">
        <w:rPr>
          <w:rFonts w:eastAsia="Calibri" w:asciiTheme="minorHAnsi" w:hAnsiTheme="minorHAnsi" w:cstheme="minorHAnsi"/>
          <w:bCs/>
          <w:i/>
          <w:iCs/>
          <w:sz w:val="22"/>
          <w:szCs w:val="22"/>
        </w:rPr>
        <w:t xml:space="preserve"> [...]</w:t>
      </w:r>
    </w:p>
    <w:p w:rsidR="00670477" w:rsidRPr="003F3AC5" w:rsidP="00670477">
      <w:pPr>
        <w:autoSpaceDE w:val="0"/>
        <w:autoSpaceDN w:val="0"/>
        <w:adjustRightInd w:val="0"/>
        <w:ind w:left="2835"/>
        <w:rPr>
          <w:rFonts w:eastAsia="Calibri" w:asciiTheme="minorHAnsi" w:hAnsiTheme="minorHAnsi" w:cstheme="minorHAnsi"/>
          <w:bCs/>
          <w:i/>
          <w:iCs/>
          <w:sz w:val="22"/>
          <w:szCs w:val="22"/>
        </w:rPr>
      </w:pPr>
      <w:r w:rsidRPr="003F3AC5">
        <w:rPr>
          <w:rFonts w:eastAsia="Calibri" w:asciiTheme="minorHAnsi" w:hAnsiTheme="minorHAnsi" w:cstheme="minorHAnsi"/>
          <w:bCs/>
          <w:i/>
          <w:iCs/>
          <w:sz w:val="22"/>
          <w:szCs w:val="22"/>
        </w:rPr>
        <w:t>II - exercer, com o auxílio dos Secretários de Estado, a direção superior da administração estadual;</w:t>
      </w:r>
    </w:p>
    <w:p w:rsidR="00670477" w:rsidRPr="003F3AC5" w:rsidP="00670477">
      <w:pPr>
        <w:autoSpaceDE w:val="0"/>
        <w:autoSpaceDN w:val="0"/>
        <w:adjustRightInd w:val="0"/>
        <w:ind w:left="2835"/>
        <w:rPr>
          <w:rFonts w:eastAsia="Calibri" w:asciiTheme="minorHAnsi" w:hAnsiTheme="minorHAnsi" w:cstheme="minorHAnsi"/>
          <w:bCs/>
          <w:i/>
          <w:iCs/>
          <w:sz w:val="22"/>
          <w:szCs w:val="22"/>
        </w:rPr>
      </w:pPr>
      <w:r w:rsidRPr="003F3AC5">
        <w:rPr>
          <w:rFonts w:eastAsia="Calibri" w:asciiTheme="minorHAnsi" w:hAnsiTheme="minorHAnsi" w:cstheme="minorHAnsi"/>
          <w:bCs/>
          <w:i/>
          <w:iCs/>
          <w:sz w:val="22"/>
          <w:szCs w:val="22"/>
        </w:rPr>
        <w:t>[...]</w:t>
      </w:r>
    </w:p>
    <w:p w:rsidR="00670477" w:rsidRPr="003F3AC5" w:rsidP="00670477">
      <w:pPr>
        <w:autoSpaceDE w:val="0"/>
        <w:autoSpaceDN w:val="0"/>
        <w:adjustRightInd w:val="0"/>
        <w:ind w:left="2835"/>
        <w:rPr>
          <w:rFonts w:eastAsia="Calibri" w:asciiTheme="minorHAnsi" w:hAnsiTheme="minorHAnsi" w:cstheme="minorHAnsi"/>
          <w:bCs/>
          <w:i/>
          <w:iCs/>
          <w:sz w:val="22"/>
          <w:szCs w:val="22"/>
        </w:rPr>
      </w:pPr>
      <w:r w:rsidRPr="003F3AC5">
        <w:rPr>
          <w:rFonts w:eastAsia="Calibri" w:asciiTheme="minorHAnsi" w:hAnsiTheme="minorHAnsi" w:cstheme="minorHAnsi"/>
          <w:bCs/>
          <w:i/>
          <w:iCs/>
          <w:sz w:val="22"/>
          <w:szCs w:val="22"/>
        </w:rPr>
        <w:t>XIV - praticar os demais atos de administração, nos limites da competência do Executivo;”;</w:t>
      </w:r>
    </w:p>
    <w:p w:rsidR="00670477" w:rsidRPr="003F3AC5" w:rsidP="00670477">
      <w:pPr>
        <w:autoSpaceDE w:val="0"/>
        <w:autoSpaceDN w:val="0"/>
        <w:adjustRightInd w:val="0"/>
        <w:spacing w:after="80" w:line="276" w:lineRule="auto"/>
        <w:ind w:left="2835"/>
        <w:rPr>
          <w:rFonts w:eastAsia="Calibri" w:asciiTheme="minorHAnsi" w:hAnsiTheme="minorHAnsi" w:cstheme="minorHAnsi"/>
          <w:bCs/>
          <w:i/>
          <w:iCs/>
          <w:sz w:val="22"/>
          <w:szCs w:val="22"/>
        </w:rPr>
      </w:pPr>
    </w:p>
    <w:p w:rsidR="00670477" w:rsidP="00670477">
      <w:pPr>
        <w:spacing w:after="120" w:line="360" w:lineRule="auto"/>
        <w:ind w:firstLine="1701"/>
        <w:rPr>
          <w:rFonts w:asciiTheme="minorHAnsi" w:hAnsiTheme="minorHAnsi" w:cstheme="minorHAnsi"/>
          <w:szCs w:val="24"/>
        </w:rPr>
      </w:pPr>
      <w:r w:rsidRPr="003F3AC5">
        <w:rPr>
          <w:rFonts w:asciiTheme="minorHAnsi" w:hAnsiTheme="minorHAnsi" w:cstheme="minorHAnsi"/>
          <w:szCs w:val="24"/>
        </w:rPr>
        <w:t>Nessa senda segue entendimento doutrinário</w:t>
      </w:r>
      <w:r>
        <w:rPr>
          <w:rFonts w:asciiTheme="minorHAnsi" w:hAnsiTheme="minorHAnsi" w:cstheme="minorHAnsi"/>
          <w:szCs w:val="24"/>
          <w:vertAlign w:val="superscript"/>
        </w:rPr>
        <w:footnoteReference w:id="2"/>
      </w:r>
      <w:r w:rsidRPr="003F3AC5">
        <w:rPr>
          <w:rFonts w:asciiTheme="minorHAnsi" w:hAnsiTheme="minorHAnsi" w:cstheme="minorHAnsi"/>
          <w:szCs w:val="24"/>
        </w:rPr>
        <w:t>:</w:t>
      </w:r>
    </w:p>
    <w:p w:rsidR="00670477" w:rsidRPr="00190C35" w:rsidP="00670477">
      <w:pPr>
        <w:spacing w:after="120" w:line="276" w:lineRule="auto"/>
        <w:ind w:left="2835"/>
        <w:rPr>
          <w:rFonts w:asciiTheme="minorHAnsi" w:hAnsiTheme="minorHAnsi" w:cstheme="minorHAnsi"/>
          <w:b/>
          <w:i/>
          <w:sz w:val="22"/>
          <w:szCs w:val="22"/>
        </w:rPr>
      </w:pPr>
      <w:r w:rsidRPr="00190C35">
        <w:rPr>
          <w:rFonts w:asciiTheme="minorHAnsi" w:hAnsiTheme="minorHAnsi" w:cstheme="minorHAnsi"/>
          <w:i/>
          <w:sz w:val="22"/>
          <w:szCs w:val="22"/>
        </w:rPr>
        <w:t>A liberdade de conformação do legislador encontra limites no texto constitucional. Entre esses limites, costuma-se apontar, no Direito Comparado, a existência da denominada “</w:t>
      </w:r>
      <w:r w:rsidRPr="00190C35">
        <w:rPr>
          <w:rFonts w:asciiTheme="minorHAnsi" w:hAnsiTheme="minorHAnsi" w:cstheme="minorHAnsi"/>
          <w:b/>
          <w:i/>
          <w:sz w:val="22"/>
          <w:szCs w:val="22"/>
        </w:rPr>
        <w:t>reserva de administração” como um verdadeiro “núcleo funcional da administração ‘resistente’ à lei”. Daí a Constituição, em situações específicas, determinar que o tratamento de determinadas matérias fica adstrito ao âmbito exclusivo da Administração Pública, não sendo lícita a ingerência do parlamento.</w:t>
      </w:r>
      <w:r w:rsidRPr="00190C35">
        <w:rPr>
          <w:rFonts w:ascii="MS Gothic" w:eastAsia="MS Gothic" w:hAnsi="MS Gothic" w:cs="MS Gothic" w:hint="eastAsia"/>
          <w:b/>
          <w:i/>
          <w:sz w:val="22"/>
          <w:szCs w:val="22"/>
        </w:rPr>
        <w:t> </w:t>
      </w:r>
    </w:p>
    <w:p w:rsidR="00670477" w:rsidRPr="00190C35" w:rsidP="00670477">
      <w:pPr>
        <w:spacing w:after="120" w:line="276" w:lineRule="auto"/>
        <w:ind w:left="2835"/>
        <w:rPr>
          <w:rFonts w:asciiTheme="minorHAnsi" w:hAnsiTheme="minorHAnsi" w:cstheme="minorHAnsi"/>
          <w:i/>
          <w:sz w:val="22"/>
          <w:szCs w:val="22"/>
        </w:rPr>
      </w:pPr>
      <w:r w:rsidRPr="00190C35">
        <w:rPr>
          <w:rFonts w:asciiTheme="minorHAnsi" w:hAnsiTheme="minorHAnsi" w:cstheme="minorHAnsi"/>
          <w:i/>
          <w:sz w:val="22"/>
          <w:szCs w:val="22"/>
        </w:rPr>
        <w:t>A reserva de administração pode ser dividida em duas categorias:</w:t>
      </w:r>
      <w:r w:rsidRPr="00190C35">
        <w:rPr>
          <w:rFonts w:ascii="MS Gothic" w:eastAsia="MS Gothic" w:hAnsi="MS Gothic" w:cs="MS Gothic" w:hint="eastAsia"/>
          <w:i/>
          <w:sz w:val="22"/>
          <w:szCs w:val="22"/>
        </w:rPr>
        <w:t> </w:t>
      </w:r>
    </w:p>
    <w:p w:rsidR="00670477" w:rsidRPr="00190C35" w:rsidP="00670477">
      <w:pPr>
        <w:spacing w:after="120" w:line="276" w:lineRule="auto"/>
        <w:ind w:left="2835"/>
        <w:rPr>
          <w:rFonts w:asciiTheme="minorHAnsi" w:hAnsiTheme="minorHAnsi" w:cstheme="minorHAnsi"/>
          <w:i/>
          <w:sz w:val="22"/>
          <w:szCs w:val="22"/>
        </w:rPr>
      </w:pPr>
      <w:r w:rsidRPr="00190C35">
        <w:rPr>
          <w:rFonts w:asciiTheme="minorHAnsi" w:hAnsiTheme="minorHAnsi" w:cstheme="minorHAnsi"/>
          <w:i/>
          <w:sz w:val="22"/>
          <w:szCs w:val="22"/>
        </w:rPr>
        <w:t xml:space="preserve">a) reserva geral de administração: fundamenta-se no </w:t>
      </w:r>
      <w:r w:rsidRPr="00190C35">
        <w:rPr>
          <w:rFonts w:asciiTheme="minorHAnsi" w:hAnsiTheme="minorHAnsi" w:cstheme="minorHAnsi"/>
          <w:b/>
          <w:i/>
          <w:sz w:val="22"/>
          <w:szCs w:val="22"/>
        </w:rPr>
        <w:t>princípio da separação de poderes</w:t>
      </w:r>
      <w:r w:rsidRPr="00190C35">
        <w:rPr>
          <w:rFonts w:asciiTheme="minorHAnsi" w:hAnsiTheme="minorHAnsi" w:cstheme="minorHAnsi"/>
          <w:i/>
          <w:sz w:val="22"/>
          <w:szCs w:val="22"/>
        </w:rPr>
        <w:t xml:space="preserve">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190C35">
        <w:rPr>
          <w:rFonts w:ascii="MS Gothic" w:eastAsia="MS Gothic" w:hAnsi="MS Gothic" w:cs="MS Gothic" w:hint="eastAsia"/>
          <w:i/>
          <w:sz w:val="22"/>
          <w:szCs w:val="22"/>
        </w:rPr>
        <w:t> </w:t>
      </w:r>
    </w:p>
    <w:p w:rsidR="00670477" w:rsidRPr="00190C35" w:rsidP="00670477">
      <w:pPr>
        <w:spacing w:after="120" w:line="276" w:lineRule="auto"/>
        <w:ind w:left="2835"/>
        <w:rPr>
          <w:rFonts w:asciiTheme="minorHAnsi" w:hAnsiTheme="minorHAnsi" w:cstheme="minorHAnsi"/>
          <w:b/>
          <w:i/>
          <w:sz w:val="22"/>
          <w:szCs w:val="22"/>
        </w:rPr>
      </w:pPr>
      <w:r w:rsidRPr="00190C35">
        <w:rPr>
          <w:rFonts w:asciiTheme="minorHAnsi" w:hAnsiTheme="minorHAnsi" w:cstheme="minorHAnsi"/>
          <w:i/>
          <w:sz w:val="22"/>
          <w:szCs w:val="22"/>
        </w:rPr>
        <w:t xml:space="preserve">b) reserva específica de administração: </w:t>
      </w:r>
      <w:r w:rsidRPr="00190C35">
        <w:rPr>
          <w:rFonts w:asciiTheme="minorHAnsi" w:hAnsiTheme="minorHAnsi" w:cstheme="minorHAnsi"/>
          <w:b/>
          <w:i/>
          <w:sz w:val="22"/>
          <w:szCs w:val="22"/>
        </w:rPr>
        <w:t>quando a Constituição destaca determinadas matérias, submetendo-as à competência exclusiva do Poder Executivo.</w:t>
      </w:r>
      <w:r w:rsidRPr="00190C35">
        <w:rPr>
          <w:rFonts w:ascii="MS Gothic" w:eastAsia="MS Gothic" w:hAnsi="MS Gothic" w:cs="MS Gothic" w:hint="eastAsia"/>
          <w:b/>
          <w:i/>
          <w:sz w:val="22"/>
          <w:szCs w:val="22"/>
        </w:rPr>
        <w:t> </w:t>
      </w:r>
    </w:p>
    <w:p w:rsidR="00670477" w:rsidRPr="00190C35" w:rsidP="00670477">
      <w:pPr>
        <w:spacing w:after="120" w:line="276" w:lineRule="auto"/>
        <w:ind w:left="2835"/>
        <w:rPr>
          <w:rFonts w:asciiTheme="minorHAnsi" w:hAnsiTheme="minorHAnsi" w:cstheme="minorHAnsi"/>
          <w:i/>
          <w:sz w:val="22"/>
          <w:szCs w:val="22"/>
        </w:rPr>
      </w:pPr>
      <w:r w:rsidRPr="00190C35">
        <w:rPr>
          <w:rFonts w:asciiTheme="minorHAnsi" w:hAnsiTheme="minorHAnsi" w:cstheme="minorHAnsi"/>
          <w:i/>
          <w:sz w:val="22"/>
          <w:szCs w:val="22"/>
        </w:rPr>
        <w:t xml:space="preserve">No Brasil, o Supremo Tribunal Federal já reconheceu a existência de um verdadeiro princípio constitucional da reserva de administração, com fulcro no princípio da separação de poderes, </w:t>
      </w:r>
      <w:r w:rsidRPr="00190C35">
        <w:rPr>
          <w:rFonts w:asciiTheme="minorHAnsi" w:hAnsiTheme="minorHAnsi" w:cstheme="minorHAnsi"/>
          <w:b/>
          <w:i/>
          <w:sz w:val="22"/>
          <w:szCs w:val="22"/>
        </w:rPr>
        <w:t>cujo conteúdo impediria “a ingerência normativa do Poder Legislativo em matérias sujeitas à exclusiva competência administrativa do Poder Executivo”.</w:t>
      </w:r>
      <w:r w:rsidRPr="00190C35">
        <w:rPr>
          <w:rFonts w:asciiTheme="minorHAnsi" w:hAnsiTheme="minorHAnsi" w:cstheme="minorHAnsi"/>
          <w:i/>
          <w:sz w:val="22"/>
          <w:szCs w:val="22"/>
        </w:rPr>
        <w:t xml:space="preserve"> No caso levado ao conhecimento e julgamento da Suprema Corte, entendeu-se pela inconstitucionalidade da declaração pelo Legislativo da nulidade de concurso público realizado pelo </w:t>
      </w:r>
      <w:r w:rsidRPr="00190C35">
        <w:rPr>
          <w:rFonts w:asciiTheme="minorHAnsi" w:hAnsiTheme="minorHAnsi" w:cstheme="minorHAnsi"/>
          <w:i/>
          <w:sz w:val="22"/>
          <w:szCs w:val="22"/>
        </w:rPr>
        <w:t>Executivo por suposta violação às normas legais, pois uma declaração dessa natureza revelaria o exercício de autotutela que só poderia ser exercida com exclusividade por quem realizou o certame (Enunciado 473 da súmula predominante do STF).” (OLIVEIRA, Rezende, R. C. Curso de Direito Administrativo, 6ª edição, p. 267. Grifo nosso.</w:t>
      </w:r>
    </w:p>
    <w:p w:rsidR="00670477" w:rsidRPr="00D92C9A" w:rsidP="00670477">
      <w:pPr>
        <w:spacing w:after="240" w:line="360" w:lineRule="auto"/>
        <w:ind w:firstLine="1701"/>
        <w:rPr>
          <w:rFonts w:asciiTheme="minorHAnsi" w:hAnsiTheme="minorHAnsi" w:cstheme="minorHAnsi"/>
          <w:color w:val="FF0000"/>
          <w:sz w:val="4"/>
          <w:szCs w:val="4"/>
        </w:rPr>
      </w:pPr>
    </w:p>
    <w:p w:rsidR="005C2C20" w:rsidP="005C2C20">
      <w:pPr>
        <w:spacing w:after="120" w:line="360" w:lineRule="auto"/>
        <w:ind w:firstLine="1701"/>
        <w:rPr>
          <w:rFonts w:asciiTheme="minorHAnsi" w:hAnsiTheme="minorHAnsi" w:cstheme="minorHAnsi"/>
          <w:szCs w:val="24"/>
        </w:rPr>
      </w:pPr>
      <w:r>
        <w:rPr>
          <w:rFonts w:asciiTheme="minorHAnsi" w:hAnsiTheme="minorHAnsi" w:cstheme="minorHAnsi"/>
          <w:szCs w:val="24"/>
        </w:rPr>
        <w:t>Na mesma linha colacionamos decisões do Tribunal de Justiça do Estado de São Paulo</w:t>
      </w:r>
      <w:r w:rsidR="00596275">
        <w:rPr>
          <w:rFonts w:asciiTheme="minorHAnsi" w:hAnsiTheme="minorHAnsi" w:cstheme="minorHAnsi"/>
          <w:szCs w:val="24"/>
        </w:rPr>
        <w:t xml:space="preserve"> </w:t>
      </w:r>
      <w:r w:rsidR="00811682">
        <w:rPr>
          <w:rFonts w:asciiTheme="minorHAnsi" w:hAnsiTheme="minorHAnsi" w:cstheme="minorHAnsi"/>
          <w:szCs w:val="24"/>
        </w:rPr>
        <w:t>atinentes à reserva de administração</w:t>
      </w:r>
      <w:r>
        <w:rPr>
          <w:rFonts w:asciiTheme="minorHAnsi" w:hAnsiTheme="minorHAnsi" w:cstheme="minorHAnsi"/>
          <w:szCs w:val="24"/>
        </w:rPr>
        <w:t>:</w:t>
      </w:r>
    </w:p>
    <w:p w:rsidR="002C6366" w:rsidP="005C2C20">
      <w:pPr>
        <w:spacing w:after="120" w:line="360" w:lineRule="auto"/>
        <w:ind w:firstLine="1701"/>
        <w:rPr>
          <w:rFonts w:asciiTheme="minorHAnsi" w:hAnsiTheme="minorHAnsi" w:cstheme="minorHAnsi"/>
          <w:szCs w:val="24"/>
        </w:rPr>
      </w:pPr>
    </w:p>
    <w:p w:rsidR="002C6366" w:rsidRPr="002C6366" w:rsidP="002C6366">
      <w:pPr>
        <w:spacing w:after="120" w:line="276" w:lineRule="auto"/>
        <w:ind w:left="2835"/>
        <w:rPr>
          <w:rFonts w:asciiTheme="minorHAnsi" w:hAnsiTheme="minorHAnsi" w:cstheme="minorHAnsi"/>
          <w:i/>
          <w:color w:val="000000"/>
          <w:sz w:val="22"/>
          <w:szCs w:val="22"/>
          <w:shd w:val="clear" w:color="auto" w:fill="FFFFFF"/>
        </w:rPr>
      </w:pPr>
      <w:r w:rsidRPr="002C6366">
        <w:rPr>
          <w:rFonts w:asciiTheme="minorHAnsi" w:hAnsiTheme="minorHAnsi" w:cstheme="minorHAnsi"/>
          <w:i/>
          <w:color w:val="000000"/>
          <w:sz w:val="22"/>
          <w:szCs w:val="22"/>
          <w:shd w:val="clear" w:color="auto" w:fill="FFFFFF"/>
        </w:rPr>
        <w:t xml:space="preserve">AÇÃO DIRETA DE INCONSTITUCIONALIDADE  Lei Municipal nº 5.447, de 18.02.19, de autoria parlamentar, dispondo sobre as diretrizes de alimentação saudável junto às escolas do Município de Mauá. Vício de iniciativa. Inocorrência. Iniciativa legislativa comum. Recente orientação do Eg. Supremo Tribunal Federal. Art. 2º. Determina observância ao disposto no 'projeto de lei'. Insustentável determinar cumprimento a texto sem obrigatoriedade – projeto de lei, em afronta direta ao princípio da legalidade (art. 5º, II da CF e art. 144 da CE). Exclusão da palavra 'projeto' se impõe. Arts. 4º e 6º. </w:t>
      </w:r>
      <w:r w:rsidRPr="002C6366">
        <w:rPr>
          <w:rFonts w:asciiTheme="minorHAnsi" w:hAnsiTheme="minorHAnsi" w:cstheme="minorHAnsi"/>
          <w:b/>
          <w:i/>
          <w:color w:val="000000"/>
          <w:szCs w:val="24"/>
          <w:u w:val="single"/>
          <w:shd w:val="clear" w:color="auto" w:fill="FFFFFF"/>
        </w:rPr>
        <w:t>O art. 4º, ao tornar obrigatória a presença de cláusula nos contratos firmados entre a Administração (escolas públicas) e eventual prestador de serviço público (proprietário da cantina, se for o caso), bem como o art. 6º ao impor a adequação ao disposto da Lei pelas escolas municipais locais em "prazo determinado", acarretaram inequívoca ingerência à reserva da administração</w:t>
      </w:r>
      <w:r w:rsidRPr="002C6366">
        <w:rPr>
          <w:rFonts w:asciiTheme="minorHAnsi" w:hAnsiTheme="minorHAnsi" w:cstheme="minorHAnsi"/>
          <w:i/>
          <w:color w:val="000000"/>
          <w:sz w:val="22"/>
          <w:szCs w:val="22"/>
          <w:shd w:val="clear" w:color="auto" w:fill="FFFFFF"/>
        </w:rPr>
        <w:t xml:space="preserve">. </w:t>
      </w:r>
      <w:r w:rsidRPr="00071DCB">
        <w:rPr>
          <w:rFonts w:asciiTheme="minorHAnsi" w:hAnsiTheme="minorHAnsi" w:cstheme="minorHAnsi"/>
          <w:b/>
          <w:i/>
          <w:color w:val="000000"/>
          <w:szCs w:val="24"/>
          <w:u w:val="single"/>
          <w:shd w:val="clear" w:color="auto" w:fill="FFFFFF"/>
        </w:rPr>
        <w:t>Cabe ao Executivo a gestão administrativa. Ofendida a separação dos poderes. Afronta a preceitos constitucionais (arts. 5º; 47, inciso XIV e 144 da Constituição Estadual). Precedentes</w:t>
      </w:r>
      <w:r w:rsidRPr="00071DCB">
        <w:rPr>
          <w:rFonts w:asciiTheme="minorHAnsi" w:hAnsiTheme="minorHAnsi" w:cstheme="minorHAnsi"/>
          <w:i/>
          <w:color w:val="000000"/>
          <w:szCs w:val="24"/>
          <w:u w:val="single"/>
          <w:shd w:val="clear" w:color="auto" w:fill="FFFFFF"/>
        </w:rPr>
        <w:t>.</w:t>
      </w:r>
      <w:r w:rsidRPr="002C6366">
        <w:rPr>
          <w:rFonts w:asciiTheme="minorHAnsi" w:hAnsiTheme="minorHAnsi" w:cstheme="minorHAnsi"/>
          <w:i/>
          <w:color w:val="000000"/>
          <w:sz w:val="22"/>
          <w:szCs w:val="22"/>
          <w:shd w:val="clear" w:color="auto" w:fill="FFFFFF"/>
        </w:rPr>
        <w:t xml:space="preserve"> Interpretação conforme, sem redução de texto, para afastar das imposições feitas, as escolas públicas municipais. Art. 5º. Dispositivo disciplinando conteúdo pedagógico. Violação ao pacto federativo. Ocorrência. Inviável norma local legislar </w:t>
      </w:r>
      <w:r w:rsidRPr="002C6366">
        <w:rPr>
          <w:rFonts w:asciiTheme="minorHAnsi" w:hAnsiTheme="minorHAnsi" w:cstheme="minorHAnsi"/>
          <w:i/>
          <w:color w:val="000000"/>
          <w:sz w:val="22"/>
          <w:szCs w:val="22"/>
          <w:shd w:val="clear" w:color="auto" w:fill="FFFFFF"/>
        </w:rPr>
        <w:t>sobre diretrizes e bases da educação nacional. Competência da União (art. 22, inciso XXIV, da Constituição Federal). Precedentes. Ação procedente, em parte.</w:t>
      </w:r>
    </w:p>
    <w:p w:rsidR="002C6366" w:rsidP="002C6366">
      <w:pPr>
        <w:pBdr>
          <w:bottom w:val="single" w:sz="12" w:space="1" w:color="auto"/>
        </w:pBdr>
        <w:spacing w:after="120" w:line="276" w:lineRule="auto"/>
        <w:ind w:left="2835"/>
        <w:rPr>
          <w:rFonts w:asciiTheme="minorHAnsi" w:hAnsiTheme="minorHAnsi" w:cstheme="minorHAnsi"/>
          <w:i/>
          <w:color w:val="000000"/>
          <w:sz w:val="22"/>
          <w:szCs w:val="22"/>
          <w:shd w:val="clear" w:color="auto" w:fill="FFFFFF"/>
        </w:rPr>
      </w:pPr>
      <w:r w:rsidRPr="002C6366">
        <w:rPr>
          <w:rFonts w:asciiTheme="minorHAnsi" w:hAnsiTheme="minorHAnsi" w:cstheme="minorHAnsi"/>
          <w:i/>
          <w:color w:val="000000"/>
          <w:sz w:val="22"/>
          <w:szCs w:val="22"/>
          <w:shd w:val="clear" w:color="auto" w:fill="FFFFFF"/>
        </w:rPr>
        <w:t>(TJSP;  Direta de Inconstitucionalidade 2297877-24.2020.8.26.0000; Relator (a): Evaristo dos Santos; Órgão Julgador: Órgão Especial; Tribunal de Justiça de São Paulo - N/A; Data do Julgamento: 20/10/2021; Data de Registro: 23/11/2021)</w:t>
      </w:r>
    </w:p>
    <w:p w:rsidR="005C2C20" w:rsidP="00D906D6">
      <w:pPr>
        <w:rPr>
          <w:rFonts w:ascii="Verdana" w:hAnsi="Verdana"/>
          <w:color w:val="000000"/>
          <w:sz w:val="17"/>
          <w:szCs w:val="17"/>
          <w:shd w:val="clear" w:color="auto" w:fill="FFFFFF"/>
        </w:rPr>
      </w:pPr>
    </w:p>
    <w:p w:rsidR="00596275" w:rsidP="005C2C20">
      <w:pPr>
        <w:ind w:left="2835"/>
        <w:rPr>
          <w:rFonts w:asciiTheme="minorHAnsi" w:hAnsiTheme="minorHAnsi" w:cstheme="minorHAnsi"/>
          <w:i/>
          <w:color w:val="000000"/>
          <w:sz w:val="22"/>
          <w:szCs w:val="22"/>
          <w:shd w:val="clear" w:color="auto" w:fill="FFFFFF"/>
        </w:rPr>
      </w:pPr>
    </w:p>
    <w:p w:rsidR="00612A86" w:rsidP="002C6366">
      <w:pPr>
        <w:pBdr>
          <w:bottom w:val="single" w:sz="12" w:space="1" w:color="auto"/>
        </w:pBdr>
        <w:spacing w:line="276" w:lineRule="auto"/>
        <w:ind w:left="2835"/>
        <w:rPr>
          <w:rFonts w:asciiTheme="minorHAnsi" w:hAnsiTheme="minorHAnsi" w:cstheme="minorHAnsi"/>
          <w:i/>
          <w:color w:val="000000"/>
          <w:sz w:val="22"/>
          <w:szCs w:val="22"/>
          <w:shd w:val="clear" w:color="auto" w:fill="FFFFFF"/>
        </w:rPr>
      </w:pPr>
      <w:r w:rsidRPr="00811682">
        <w:rPr>
          <w:rFonts w:asciiTheme="minorHAnsi" w:hAnsiTheme="minorHAnsi" w:cstheme="minorHAnsi"/>
          <w:i/>
          <w:color w:val="000000"/>
          <w:sz w:val="22"/>
          <w:szCs w:val="22"/>
          <w:shd w:val="clear" w:color="auto" w:fill="FFFFFF"/>
        </w:rPr>
        <w:t xml:space="preserve">AÇÃO DIRETA DE INCONSTITUCIONALIDADE Lei nº 8.777, de 20 de dezembro de 2021, de iniciativa parlamentar, alterando a Lei nº 8.240/18, que dispõe sobre áreas especiais para estacionamento rotativo de veículos automotores, denominadas como "zona azul", no município de Marília. Vício de iniciativa. Ocorrência. Iniciativa legislativa do Executivo. Norma que ao dispor o uso dos bens públicos bem como sua política tarifária, inequivocamente, interfere na própria estrutura da Administração local, máxime quando afeta diretamente as concessões firmadas pelo Executivo. Afronta aos arts. 120 e 159, parágrafo único da CE. Organização administrativa. Inconstitucionalidade. </w:t>
      </w:r>
      <w:r w:rsidRPr="00811682">
        <w:rPr>
          <w:rFonts w:asciiTheme="minorHAnsi" w:hAnsiTheme="minorHAnsi" w:cstheme="minorHAnsi"/>
          <w:b/>
          <w:i/>
          <w:color w:val="000000"/>
          <w:sz w:val="22"/>
          <w:szCs w:val="22"/>
          <w:shd w:val="clear" w:color="auto" w:fill="FFFFFF"/>
        </w:rPr>
        <w:t>Cabe ao Executivo a gestão administrativa. Desrespeito ao princípio constitucional da 'reserva de administração' e separação dos poderes. Afronta a preceitos constitucionais (arts. 5º; 47, inciso XIV e 144 da Constituição Estadual). Princípio do equilíbrio econômico-financeiro dos contratos. Inconstitucionalidade.</w:t>
      </w:r>
      <w:r w:rsidRPr="00811682">
        <w:rPr>
          <w:rFonts w:asciiTheme="minorHAnsi" w:hAnsiTheme="minorHAnsi" w:cstheme="minorHAnsi"/>
          <w:i/>
          <w:color w:val="000000"/>
          <w:sz w:val="22"/>
          <w:szCs w:val="22"/>
          <w:shd w:val="clear" w:color="auto" w:fill="FFFFFF"/>
        </w:rPr>
        <w:t xml:space="preserve"> Criação de hipóteses de desobrigação do pagamento, afetando o necessário equilíbrio econômico-financeiro dos contratos administrativos, em clara violação a preceito constitucional (art. 117 da Constituição Estadual). Precedentes. Afronta aos arts. 5º, 47, inciso XIV, 117 e 144 da Constituição Bandeirante. Ação procedente. </w:t>
      </w:r>
      <w:r>
        <w:rPr>
          <w:rFonts w:asciiTheme="minorHAnsi" w:hAnsiTheme="minorHAnsi" w:cstheme="minorHAnsi"/>
          <w:i/>
          <w:color w:val="000000"/>
          <w:sz w:val="22"/>
          <w:szCs w:val="22"/>
          <w:shd w:val="clear" w:color="auto" w:fill="FFFFFF"/>
        </w:rPr>
        <w:t xml:space="preserve"> </w:t>
      </w:r>
    </w:p>
    <w:p w:rsidR="00596275" w:rsidP="002C6366">
      <w:pPr>
        <w:pBdr>
          <w:bottom w:val="single" w:sz="12" w:space="1" w:color="auto"/>
        </w:pBdr>
        <w:spacing w:line="276" w:lineRule="auto"/>
        <w:ind w:left="2835"/>
        <w:rPr>
          <w:rFonts w:asciiTheme="minorHAnsi" w:hAnsiTheme="minorHAnsi" w:cstheme="minorHAnsi"/>
          <w:i/>
          <w:color w:val="000000"/>
          <w:sz w:val="22"/>
          <w:szCs w:val="22"/>
          <w:shd w:val="clear" w:color="auto" w:fill="FFFFFF"/>
        </w:rPr>
      </w:pPr>
      <w:r w:rsidRPr="00811682">
        <w:rPr>
          <w:rFonts w:asciiTheme="minorHAnsi" w:hAnsiTheme="minorHAnsi" w:cstheme="minorHAnsi"/>
          <w:i/>
          <w:color w:val="000000"/>
          <w:sz w:val="22"/>
          <w:szCs w:val="22"/>
          <w:shd w:val="clear" w:color="auto" w:fill="FFFFFF"/>
        </w:rPr>
        <w:t>(TJSP;  Direta de Inconstitucionalidade 2004919-32.2022.8.26.0000; Relator (a): Evaristo dos Santos; Órgão Julgador: Órgão Especial; Tribunal de Justiça de São Paulo - N/A; Data do Julgamento: 15/06/2022; Data de Registro: 20/06/2022)</w:t>
      </w:r>
    </w:p>
    <w:p w:rsidR="00811682" w:rsidP="002C6366">
      <w:pPr>
        <w:spacing w:line="276" w:lineRule="auto"/>
        <w:ind w:left="2835"/>
        <w:rPr>
          <w:rFonts w:asciiTheme="minorHAnsi" w:hAnsiTheme="minorHAnsi" w:cstheme="minorHAnsi"/>
          <w:i/>
          <w:color w:val="000000"/>
          <w:sz w:val="22"/>
          <w:szCs w:val="22"/>
          <w:shd w:val="clear" w:color="auto" w:fill="FFFFFF"/>
        </w:rPr>
      </w:pPr>
    </w:p>
    <w:p w:rsidR="00612A86" w:rsidP="002C6366">
      <w:pPr>
        <w:spacing w:line="276" w:lineRule="auto"/>
        <w:ind w:left="2835"/>
        <w:rPr>
          <w:rFonts w:asciiTheme="minorHAnsi" w:hAnsiTheme="minorHAnsi" w:cstheme="minorHAnsi"/>
          <w:i/>
          <w:color w:val="000000"/>
          <w:sz w:val="22"/>
          <w:szCs w:val="22"/>
          <w:shd w:val="clear" w:color="auto" w:fill="FFFFFF"/>
        </w:rPr>
      </w:pPr>
      <w:r w:rsidRPr="005C2C20">
        <w:rPr>
          <w:rFonts w:asciiTheme="minorHAnsi" w:hAnsiTheme="minorHAnsi" w:cstheme="minorHAnsi"/>
          <w:i/>
          <w:color w:val="000000"/>
          <w:sz w:val="22"/>
          <w:szCs w:val="22"/>
          <w:shd w:val="clear" w:color="auto" w:fill="FFFFFF"/>
        </w:rPr>
        <w:t xml:space="preserve">AÇÃO DIRETA DE INCONSTITUCIONALIDADE. Lei nº 8.782, de 20 de dezembro de 2021, de iniciativa parlamentar, que inclui o inciso XVI no artigo 23 da Lei n. 7.166, de 17 de agosto de 2010, obrigando as empresas concessionárias de serviço de transporte público (no Município de Marília) a efetuar a "implantação, manutenção e substituição dos pontos de ônibus, que deverão possuir assentos e coberturas". 1. Alegação de violação do artigo 25 da Constituição Paulista. Rejeição. Conforme jurisprudência consolidada pelo Supremo Tribunal Federal, "ausência de dotação orçamentária prévia em legislação específica não autoriza a declaração de inconstitucionalidade da lei, impedindo tão-somente a sua aplicação naquele exercício financeiro" (ADI 3.599/DF, Rel. Min. Gilmar Mendes). 2. Alegação de vício de iniciativa e </w:t>
      </w:r>
      <w:r w:rsidRPr="005C2C20">
        <w:rPr>
          <w:rFonts w:asciiTheme="minorHAnsi" w:hAnsiTheme="minorHAnsi" w:cstheme="minorHAnsi"/>
          <w:b/>
          <w:i/>
          <w:color w:val="000000"/>
          <w:sz w:val="22"/>
          <w:szCs w:val="22"/>
          <w:shd w:val="clear" w:color="auto" w:fill="FFFFFF"/>
        </w:rPr>
        <w:t>ofensa aos princípios da separação dos poderes e da reserva da administração. Reconhecimento. 2.1. Lei impugnada, de autoria parlamentar, que impõe obrigações às concessionárias de serviços públicos de transporte de passageiros, ou seja, avança sobre área de gestão, inclusive com interferência (indevida) em contratos de concessão.</w:t>
      </w:r>
      <w:r w:rsidRPr="005C2C20">
        <w:rPr>
          <w:rFonts w:asciiTheme="minorHAnsi" w:hAnsiTheme="minorHAnsi" w:cstheme="minorHAnsi"/>
          <w:i/>
          <w:color w:val="000000"/>
          <w:sz w:val="22"/>
          <w:szCs w:val="22"/>
          <w:shd w:val="clear" w:color="auto" w:fill="FFFFFF"/>
        </w:rPr>
        <w:t xml:space="preserve"> Precedentes. 4. Ação julgada procedente. </w:t>
      </w:r>
      <w:r w:rsidR="00811682">
        <w:rPr>
          <w:rFonts w:asciiTheme="minorHAnsi" w:hAnsiTheme="minorHAnsi" w:cstheme="minorHAnsi"/>
          <w:i/>
          <w:color w:val="000000"/>
          <w:sz w:val="22"/>
          <w:szCs w:val="22"/>
          <w:shd w:val="clear" w:color="auto" w:fill="FFFFFF"/>
        </w:rPr>
        <w:t xml:space="preserve"> </w:t>
      </w:r>
    </w:p>
    <w:p w:rsidR="00670477" w:rsidRPr="00811682" w:rsidP="002C6366">
      <w:pPr>
        <w:spacing w:line="276" w:lineRule="auto"/>
        <w:ind w:left="2835"/>
        <w:rPr>
          <w:rFonts w:asciiTheme="minorHAnsi" w:hAnsiTheme="minorHAnsi" w:cstheme="minorHAnsi"/>
          <w:i/>
          <w:color w:val="000000"/>
          <w:sz w:val="22"/>
          <w:szCs w:val="22"/>
          <w:shd w:val="clear" w:color="auto" w:fill="FFFFFF"/>
        </w:rPr>
      </w:pPr>
      <w:r w:rsidRPr="005C2C20">
        <w:rPr>
          <w:rFonts w:asciiTheme="minorHAnsi" w:hAnsiTheme="minorHAnsi" w:cstheme="minorHAnsi"/>
          <w:i/>
          <w:color w:val="000000"/>
          <w:sz w:val="22"/>
          <w:szCs w:val="22"/>
          <w:shd w:val="clear" w:color="auto" w:fill="FFFFFF"/>
        </w:rPr>
        <w:t>(TJSP;  Direta de Inconstitucionalidade 2016157-48.2022.8.26.0000; Relator (a): Ferreira Rodrigues; Órgão Julgador: Órgão Especial; Tribunal de Justiça de São Paulo - N/A; Data do Julgamento: 15/06/2022; Data de Registro: 24/06/2022)</w:t>
      </w:r>
    </w:p>
    <w:p w:rsidR="00320AAD" w:rsidP="002C6366">
      <w:pPr>
        <w:spacing w:line="276" w:lineRule="auto"/>
        <w:ind w:left="2835"/>
        <w:rPr>
          <w:rFonts w:asciiTheme="minorHAnsi" w:hAnsiTheme="minorHAnsi" w:cstheme="minorHAnsi"/>
          <w:bCs/>
          <w:i/>
          <w:sz w:val="22"/>
          <w:szCs w:val="22"/>
        </w:rPr>
      </w:pPr>
    </w:p>
    <w:p w:rsidR="00320AAD" w:rsidP="005C2C20">
      <w:pPr>
        <w:spacing w:line="360" w:lineRule="auto"/>
        <w:ind w:firstLine="2127"/>
        <w:rPr>
          <w:rFonts w:asciiTheme="minorHAnsi" w:hAnsiTheme="minorHAnsi" w:cstheme="minorHAnsi"/>
          <w:bCs/>
          <w:i/>
          <w:sz w:val="22"/>
          <w:szCs w:val="22"/>
        </w:rPr>
      </w:pPr>
      <w:r w:rsidRPr="00D906D6">
        <w:rPr>
          <w:rFonts w:asciiTheme="minorHAnsi" w:hAnsiTheme="minorHAnsi" w:cstheme="minorHAnsi"/>
          <w:szCs w:val="24"/>
        </w:rPr>
        <w:t xml:space="preserve">Assim, no entendimento da Corte Paulista compete privativamente ao Chefe do Executivo a propositura de texto normativo voltado à </w:t>
      </w:r>
      <w:r w:rsidR="003202E4">
        <w:rPr>
          <w:rFonts w:asciiTheme="minorHAnsi" w:hAnsiTheme="minorHAnsi" w:cstheme="minorHAnsi"/>
          <w:szCs w:val="24"/>
        </w:rPr>
        <w:t>gestão administrativa</w:t>
      </w:r>
      <w:r w:rsidRPr="00D906D6">
        <w:rPr>
          <w:rFonts w:asciiTheme="minorHAnsi" w:hAnsiTheme="minorHAnsi" w:cstheme="minorHAnsi"/>
          <w:szCs w:val="24"/>
        </w:rPr>
        <w:t>, como</w:t>
      </w:r>
      <w:r w:rsidR="00432783">
        <w:rPr>
          <w:rFonts w:asciiTheme="minorHAnsi" w:hAnsiTheme="minorHAnsi" w:cstheme="minorHAnsi"/>
          <w:szCs w:val="24"/>
        </w:rPr>
        <w:t xml:space="preserve"> vislumbramos no </w:t>
      </w:r>
      <w:r w:rsidRPr="00D906D6">
        <w:rPr>
          <w:rFonts w:asciiTheme="minorHAnsi" w:hAnsiTheme="minorHAnsi" w:cstheme="minorHAnsi"/>
          <w:szCs w:val="24"/>
        </w:rPr>
        <w:t>caso</w:t>
      </w:r>
      <w:r w:rsidR="005C2C20">
        <w:rPr>
          <w:rFonts w:asciiTheme="minorHAnsi" w:hAnsiTheme="minorHAnsi" w:cstheme="minorHAnsi"/>
          <w:szCs w:val="24"/>
        </w:rPr>
        <w:t xml:space="preserve"> </w:t>
      </w:r>
      <w:r w:rsidR="003202E4">
        <w:rPr>
          <w:rFonts w:asciiTheme="minorHAnsi" w:hAnsiTheme="minorHAnsi" w:cstheme="minorHAnsi"/>
          <w:szCs w:val="24"/>
        </w:rPr>
        <w:t>do projeto em comento</w:t>
      </w:r>
      <w:r w:rsidR="005C2C20">
        <w:rPr>
          <w:rFonts w:asciiTheme="minorHAnsi" w:hAnsiTheme="minorHAnsi" w:cstheme="minorHAnsi"/>
          <w:szCs w:val="24"/>
        </w:rPr>
        <w:t>.</w:t>
      </w:r>
    </w:p>
    <w:p w:rsidR="00320AAD" w:rsidRPr="00C7097B" w:rsidP="00C0429C">
      <w:pPr>
        <w:ind w:left="2835"/>
        <w:rPr>
          <w:rFonts w:asciiTheme="minorHAnsi" w:hAnsiTheme="minorHAnsi" w:cstheme="minorHAnsi"/>
          <w:bCs/>
          <w:i/>
          <w:sz w:val="22"/>
          <w:szCs w:val="22"/>
        </w:rPr>
      </w:pPr>
    </w:p>
    <w:p w:rsidR="003B23DD" w:rsidRPr="00DB29E0" w:rsidP="003B23DD">
      <w:pPr>
        <w:pStyle w:val="NormalWeb"/>
        <w:spacing w:before="0" w:beforeAutospacing="0" w:after="240" w:afterAutospacing="0" w:line="360" w:lineRule="auto"/>
        <w:ind w:firstLine="1701"/>
        <w:rPr>
          <w:rFonts w:eastAsia="Calibri" w:asciiTheme="minorHAnsi" w:hAnsiTheme="minorHAnsi" w:cstheme="minorHAnsi"/>
        </w:rPr>
      </w:pPr>
      <w:r>
        <w:rPr>
          <w:rFonts w:asciiTheme="minorHAnsi" w:hAnsiTheme="minorHAnsi" w:cstheme="minorHAnsi"/>
          <w:color w:val="FF0000"/>
        </w:rPr>
        <w:tab/>
      </w:r>
      <w:r>
        <w:rPr>
          <w:rFonts w:asciiTheme="minorHAnsi" w:hAnsiTheme="minorHAnsi" w:cstheme="minorHAnsi"/>
        </w:rPr>
        <w:t>Destarte</w:t>
      </w:r>
      <w:r w:rsidRPr="00DB29E0">
        <w:rPr>
          <w:rFonts w:asciiTheme="minorHAnsi" w:hAnsiTheme="minorHAnsi" w:cstheme="minorHAnsi"/>
        </w:rPr>
        <w:t xml:space="preserve">, </w:t>
      </w:r>
      <w:r>
        <w:rPr>
          <w:rFonts w:asciiTheme="minorHAnsi" w:hAnsiTheme="minorHAnsi" w:cstheme="minorHAnsi"/>
        </w:rPr>
        <w:t>sugere-se, respeitosamente, a adoção do procedimento</w:t>
      </w:r>
      <w:r w:rsidRPr="00DB29E0">
        <w:rPr>
          <w:rFonts w:eastAsia="Calibri" w:asciiTheme="minorHAnsi" w:hAnsiTheme="minorHAnsi" w:cstheme="minorHAnsi"/>
        </w:rPr>
        <w:t xml:space="preserve"> previsto na Resolução nº 09,</w:t>
      </w:r>
      <w:r>
        <w:rPr>
          <w:rFonts w:eastAsia="Calibri" w:asciiTheme="minorHAnsi" w:hAnsiTheme="minorHAnsi" w:cstheme="minorHAnsi"/>
        </w:rPr>
        <w:t xml:space="preserve"> de 22 de outubro de 2013, por </w:t>
      </w:r>
      <w:r w:rsidRPr="00DB29E0">
        <w:rPr>
          <w:rFonts w:eastAsia="Calibri" w:asciiTheme="minorHAnsi" w:hAnsiTheme="minorHAnsi" w:cstheme="minorHAnsi"/>
        </w:rPr>
        <w:t>tratar</w:t>
      </w:r>
      <w:r>
        <w:rPr>
          <w:rFonts w:eastAsia="Calibri" w:asciiTheme="minorHAnsi" w:hAnsiTheme="minorHAnsi" w:cstheme="minorHAnsi"/>
        </w:rPr>
        <w:t>-se</w:t>
      </w:r>
      <w:r w:rsidRPr="00DB29E0">
        <w:rPr>
          <w:rFonts w:eastAsia="Calibri" w:asciiTheme="minorHAnsi" w:hAnsiTheme="minorHAnsi" w:cstheme="minorHAnsi"/>
        </w:rPr>
        <w:t xml:space="preserve"> de projeto sobre matéria </w:t>
      </w:r>
      <w:r>
        <w:rPr>
          <w:rFonts w:eastAsia="Calibri" w:asciiTheme="minorHAnsi" w:hAnsiTheme="minorHAnsi" w:cstheme="minorHAnsi"/>
        </w:rPr>
        <w:t>de iniciativa</w:t>
      </w:r>
      <w:r w:rsidRPr="00DB29E0">
        <w:rPr>
          <w:rFonts w:eastAsia="Calibri" w:asciiTheme="minorHAnsi" w:hAnsiTheme="minorHAnsi" w:cstheme="minorHAnsi"/>
        </w:rPr>
        <w:t xml:space="preserve"> </w:t>
      </w:r>
      <w:r>
        <w:rPr>
          <w:rFonts w:eastAsia="Calibri" w:asciiTheme="minorHAnsi" w:hAnsiTheme="minorHAnsi" w:cstheme="minorHAnsi"/>
        </w:rPr>
        <w:t>d</w:t>
      </w:r>
      <w:r w:rsidRPr="00DB29E0">
        <w:rPr>
          <w:rFonts w:eastAsia="Calibri" w:asciiTheme="minorHAnsi" w:hAnsiTheme="minorHAnsi" w:cstheme="minorHAnsi"/>
        </w:rPr>
        <w:t>o Poder Executivo:</w:t>
      </w:r>
    </w:p>
    <w:p w:rsidR="003B23DD" w:rsidRPr="00432783" w:rsidP="00432783">
      <w:pPr>
        <w:autoSpaceDE w:val="0"/>
        <w:autoSpaceDN w:val="0"/>
        <w:adjustRightInd w:val="0"/>
        <w:spacing w:after="120" w:line="300" w:lineRule="auto"/>
        <w:ind w:left="2835"/>
        <w:rPr>
          <w:rFonts w:asciiTheme="minorHAnsi" w:eastAsiaTheme="minorHAnsi" w:hAnsiTheme="minorHAnsi" w:cstheme="minorHAnsi"/>
          <w:i/>
          <w:szCs w:val="24"/>
          <w:lang w:eastAsia="en-US"/>
        </w:rPr>
      </w:pPr>
      <w:r w:rsidRPr="00432783">
        <w:rPr>
          <w:rFonts w:asciiTheme="minorHAnsi" w:eastAsiaTheme="minorHAnsi" w:hAnsiTheme="minorHAnsi" w:cstheme="minorHAnsi"/>
          <w:szCs w:val="24"/>
          <w:lang w:eastAsia="en-US"/>
        </w:rPr>
        <w:t>“</w:t>
      </w:r>
      <w:r w:rsidRPr="00432783">
        <w:rPr>
          <w:rFonts w:asciiTheme="minorHAnsi" w:eastAsiaTheme="minorHAnsi" w:hAnsiTheme="minorHAnsi" w:cstheme="minorHAnsi"/>
          <w:i/>
          <w:szCs w:val="24"/>
          <w:lang w:eastAsia="en-US"/>
        </w:rPr>
        <w:t xml:space="preserve">Art. 1º. </w:t>
      </w:r>
      <w:r w:rsidRPr="00432783">
        <w:rPr>
          <w:rFonts w:asciiTheme="minorHAnsi" w:eastAsiaTheme="minorHAnsi" w:hAnsiTheme="minorHAnsi" w:cstheme="minorHAnsi"/>
          <w:b/>
          <w:i/>
          <w:szCs w:val="24"/>
          <w:lang w:eastAsia="en-US"/>
        </w:rPr>
        <w:t>O Projeto de Lei de natureza autorizativa</w:t>
      </w:r>
      <w:r w:rsidRPr="00432783">
        <w:rPr>
          <w:rFonts w:asciiTheme="minorHAnsi" w:eastAsiaTheme="minorHAnsi" w:hAnsiTheme="minorHAnsi" w:cstheme="minorHAnsi"/>
          <w:i/>
          <w:szCs w:val="24"/>
          <w:lang w:eastAsia="en-US"/>
        </w:rPr>
        <w:t xml:space="preserve">, </w:t>
      </w:r>
      <w:r w:rsidRPr="00432783">
        <w:rPr>
          <w:rFonts w:asciiTheme="minorHAnsi" w:eastAsiaTheme="minorHAnsi" w:hAnsiTheme="minorHAnsi" w:cstheme="minorHAnsi"/>
          <w:b/>
          <w:i/>
          <w:szCs w:val="24"/>
          <w:lang w:eastAsia="en-US"/>
        </w:rPr>
        <w:t>que disponha sobre matéria que discipline atos administrativos ou atribuições inerentes ao Poder Executivo</w:t>
      </w:r>
      <w:r w:rsidRPr="00432783">
        <w:rPr>
          <w:rFonts w:asciiTheme="minorHAnsi" w:eastAsiaTheme="minorHAnsi" w:hAnsiTheme="minorHAnsi" w:cstheme="minorHAnsi"/>
          <w:i/>
          <w:szCs w:val="24"/>
          <w:lang w:eastAsia="en-US"/>
        </w:rPr>
        <w:t>, ou ainda à estrutura ou organização administrativa deste, cuja iniciativa tenha sido da Câmara Municipal, por proposição de autoria de qualquer de seus Vereadores, em conjunto ou separadamente, obedecerá ao procedimento prescrito na presente Resolução.</w:t>
      </w:r>
    </w:p>
    <w:p w:rsidR="003B23DD" w:rsidRPr="00432783" w:rsidP="00432783">
      <w:pPr>
        <w:autoSpaceDE w:val="0"/>
        <w:autoSpaceDN w:val="0"/>
        <w:adjustRightInd w:val="0"/>
        <w:spacing w:after="120" w:line="300" w:lineRule="auto"/>
        <w:ind w:left="2835"/>
        <w:rPr>
          <w:rFonts w:asciiTheme="minorHAnsi" w:eastAsiaTheme="minorHAnsi" w:hAnsiTheme="minorHAnsi" w:cstheme="minorHAnsi"/>
          <w:i/>
          <w:szCs w:val="24"/>
          <w:lang w:eastAsia="en-US"/>
        </w:rPr>
      </w:pPr>
      <w:r w:rsidRPr="00432783">
        <w:rPr>
          <w:rFonts w:asciiTheme="minorHAnsi" w:eastAsiaTheme="minorHAnsi" w:hAnsiTheme="minorHAnsi" w:cstheme="minorHAnsi"/>
          <w:i/>
          <w:szCs w:val="24"/>
          <w:lang w:eastAsia="en-US"/>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p>
    <w:p w:rsidR="003B23DD" w:rsidRPr="00DB29E0" w:rsidP="003B23DD">
      <w:pPr>
        <w:autoSpaceDE w:val="0"/>
        <w:autoSpaceDN w:val="0"/>
        <w:adjustRightInd w:val="0"/>
        <w:spacing w:after="120"/>
        <w:ind w:left="2268"/>
        <w:rPr>
          <w:rFonts w:asciiTheme="minorHAnsi" w:eastAsiaTheme="minorHAnsi" w:hAnsiTheme="minorHAnsi" w:cstheme="minorHAnsi"/>
          <w:i/>
          <w:sz w:val="22"/>
          <w:szCs w:val="22"/>
          <w:lang w:eastAsia="en-US"/>
        </w:rPr>
      </w:pPr>
    </w:p>
    <w:p w:rsidR="003B23DD" w:rsidRPr="00DD221D" w:rsidP="003B23DD">
      <w:pPr>
        <w:spacing w:after="120" w:line="360" w:lineRule="auto"/>
        <w:ind w:firstLine="1701"/>
        <w:rPr>
          <w:rFonts w:eastAsia="Calibri" w:asciiTheme="minorHAnsi" w:hAnsiTheme="minorHAnsi" w:cstheme="minorHAnsi"/>
          <w:b/>
          <w:szCs w:val="24"/>
        </w:rPr>
      </w:pPr>
      <w:r>
        <w:rPr>
          <w:rFonts w:eastAsia="Calibri" w:asciiTheme="minorHAnsi" w:hAnsiTheme="minorHAnsi" w:cstheme="minorHAnsi"/>
          <w:szCs w:val="24"/>
        </w:rPr>
        <w:t>Ante todo o exposto</w:t>
      </w:r>
      <w:r w:rsidRPr="00B93D6E">
        <w:rPr>
          <w:rFonts w:eastAsia="Calibri" w:asciiTheme="minorHAnsi" w:hAnsiTheme="minorHAnsi" w:cstheme="minorHAnsi"/>
          <w:i/>
          <w:szCs w:val="24"/>
        </w:rPr>
        <w:t>, s.m.j,</w:t>
      </w:r>
      <w:r w:rsidRPr="00977D30">
        <w:rPr>
          <w:rFonts w:eastAsia="Calibri" w:asciiTheme="minorHAnsi" w:hAnsiTheme="minorHAnsi" w:cstheme="minorHAnsi"/>
          <w:szCs w:val="24"/>
        </w:rPr>
        <w:t xml:space="preserve"> </w:t>
      </w:r>
      <w:r w:rsidRPr="00DD221D">
        <w:rPr>
          <w:rFonts w:eastAsia="Calibri" w:asciiTheme="minorHAnsi" w:hAnsiTheme="minorHAnsi" w:cstheme="minorHAnsi"/>
          <w:szCs w:val="24"/>
        </w:rPr>
        <w:t xml:space="preserve">por </w:t>
      </w:r>
      <w:r w:rsidRPr="00DD221D">
        <w:rPr>
          <w:rFonts w:asciiTheme="minorHAnsi" w:eastAsiaTheme="minorHAnsi" w:hAnsiTheme="minorHAnsi" w:cstheme="minorHAnsi"/>
          <w:szCs w:val="24"/>
          <w:lang w:eastAsia="en-US"/>
        </w:rPr>
        <w:t>tratar</w:t>
      </w:r>
      <w:r w:rsidR="00B20113">
        <w:rPr>
          <w:rFonts w:asciiTheme="minorHAnsi" w:eastAsiaTheme="minorHAnsi" w:hAnsiTheme="minorHAnsi" w:cstheme="minorHAnsi"/>
          <w:szCs w:val="24"/>
          <w:lang w:eastAsia="en-US"/>
        </w:rPr>
        <w:t>-se</w:t>
      </w:r>
      <w:r w:rsidRPr="00DD221D">
        <w:rPr>
          <w:rFonts w:asciiTheme="minorHAnsi" w:eastAsiaTheme="minorHAnsi" w:hAnsiTheme="minorHAnsi" w:cstheme="minorHAnsi"/>
          <w:szCs w:val="24"/>
          <w:lang w:eastAsia="en-US"/>
        </w:rPr>
        <w:t xml:space="preserve"> de</w:t>
      </w:r>
      <w:r w:rsidR="00616F30">
        <w:rPr>
          <w:rFonts w:asciiTheme="minorHAnsi" w:eastAsiaTheme="minorHAnsi" w:hAnsiTheme="minorHAnsi" w:cstheme="minorHAnsi"/>
          <w:szCs w:val="24"/>
          <w:lang w:eastAsia="en-US"/>
        </w:rPr>
        <w:t xml:space="preserve"> tema afeto à esfera reservada à</w:t>
      </w:r>
      <w:bookmarkStart w:id="0" w:name="_GoBack"/>
      <w:bookmarkEnd w:id="0"/>
      <w:r w:rsidR="00432783">
        <w:rPr>
          <w:rFonts w:asciiTheme="minorHAnsi" w:eastAsiaTheme="minorHAnsi" w:hAnsiTheme="minorHAnsi" w:cstheme="minorHAnsi"/>
          <w:szCs w:val="24"/>
          <w:lang w:eastAsia="en-US"/>
        </w:rPr>
        <w:t xml:space="preserve"> Chefe do Poder Executivo</w:t>
      </w:r>
      <w:r>
        <w:rPr>
          <w:rFonts w:asciiTheme="minorHAnsi" w:eastAsiaTheme="minorHAnsi" w:hAnsiTheme="minorHAnsi" w:cstheme="minorHAnsi"/>
          <w:szCs w:val="24"/>
          <w:lang w:eastAsia="en-US"/>
        </w:rPr>
        <w:t xml:space="preserve"> </w:t>
      </w:r>
      <w:r w:rsidRPr="00DD221D">
        <w:rPr>
          <w:rFonts w:asciiTheme="minorHAnsi" w:eastAsiaTheme="minorHAnsi" w:hAnsiTheme="minorHAnsi" w:cstheme="minorHAnsi"/>
          <w:szCs w:val="24"/>
          <w:lang w:eastAsia="en-US"/>
        </w:rPr>
        <w:t>sugere-se</w:t>
      </w:r>
      <w:r w:rsidR="00432783">
        <w:rPr>
          <w:rFonts w:asciiTheme="minorHAnsi" w:eastAsiaTheme="minorHAnsi" w:hAnsiTheme="minorHAnsi" w:cstheme="minorHAnsi"/>
          <w:szCs w:val="24"/>
          <w:lang w:eastAsia="en-US"/>
        </w:rPr>
        <w:t>,</w:t>
      </w:r>
      <w:r w:rsidRPr="00DD221D">
        <w:rPr>
          <w:rFonts w:asciiTheme="minorHAnsi" w:eastAsiaTheme="minorHAnsi" w:hAnsiTheme="minorHAnsi" w:cstheme="minorHAnsi"/>
          <w:szCs w:val="24"/>
          <w:lang w:eastAsia="en-US"/>
        </w:rPr>
        <w:t xml:space="preserve"> </w:t>
      </w:r>
      <w:r w:rsidRPr="00DD221D" w:rsidR="00432783">
        <w:rPr>
          <w:rFonts w:asciiTheme="minorHAnsi" w:eastAsiaTheme="minorHAnsi" w:hAnsiTheme="minorHAnsi" w:cstheme="minorHAnsi"/>
          <w:szCs w:val="24"/>
          <w:lang w:eastAsia="en-US"/>
        </w:rPr>
        <w:t>respeitosamente,</w:t>
      </w:r>
      <w:r w:rsidR="00432783">
        <w:rPr>
          <w:rFonts w:asciiTheme="minorHAnsi" w:eastAsiaTheme="minorHAnsi" w:hAnsiTheme="minorHAnsi" w:cstheme="minorHAnsi"/>
          <w:szCs w:val="24"/>
          <w:lang w:eastAsia="en-US"/>
        </w:rPr>
        <w:t xml:space="preserve"> </w:t>
      </w:r>
      <w:r w:rsidRPr="00DD221D">
        <w:rPr>
          <w:rFonts w:asciiTheme="minorHAnsi" w:eastAsiaTheme="minorHAnsi" w:hAnsiTheme="minorHAnsi" w:cstheme="minorHAnsi"/>
          <w:szCs w:val="24"/>
          <w:lang w:eastAsia="en-US"/>
        </w:rPr>
        <w:t xml:space="preserve">a aplicação do procedimento da Resolução nº 09/2013. </w:t>
      </w:r>
    </w:p>
    <w:p w:rsidR="00A779B8" w:rsidRPr="00C7097B" w:rsidP="00A779B8">
      <w:pPr>
        <w:autoSpaceDE w:val="0"/>
        <w:autoSpaceDN w:val="0"/>
        <w:adjustRightInd w:val="0"/>
        <w:spacing w:before="240" w:after="240" w:line="360" w:lineRule="auto"/>
        <w:ind w:firstLine="2268"/>
        <w:rPr>
          <w:rFonts w:asciiTheme="minorHAnsi" w:hAnsiTheme="minorHAnsi" w:cstheme="minorHAnsi"/>
          <w:szCs w:val="24"/>
        </w:rPr>
      </w:pPr>
      <w:r w:rsidRPr="00C7097B">
        <w:rPr>
          <w:rFonts w:asciiTheme="minorHAnsi" w:hAnsiTheme="minorHAnsi" w:cstheme="minorHAnsi"/>
          <w:szCs w:val="24"/>
        </w:rPr>
        <w:t>É o parecer, a superior consideração.</w:t>
      </w:r>
    </w:p>
    <w:p w:rsidR="00A779B8" w:rsidP="00A779B8">
      <w:pPr>
        <w:autoSpaceDE w:val="0"/>
        <w:autoSpaceDN w:val="0"/>
        <w:adjustRightInd w:val="0"/>
        <w:spacing w:before="240" w:after="240" w:line="360" w:lineRule="auto"/>
        <w:ind w:firstLine="2268"/>
        <w:rPr>
          <w:rFonts w:asciiTheme="minorHAnsi" w:hAnsiTheme="minorHAnsi" w:cstheme="minorHAnsi"/>
          <w:szCs w:val="24"/>
        </w:rPr>
      </w:pPr>
      <w:r w:rsidRPr="00C7097B">
        <w:rPr>
          <w:rFonts w:asciiTheme="minorHAnsi" w:hAnsiTheme="minorHAnsi" w:cstheme="minorHAnsi"/>
          <w:szCs w:val="24"/>
        </w:rPr>
        <w:t xml:space="preserve">Procuradoria, </w:t>
      </w:r>
      <w:r w:rsidR="00E11044">
        <w:rPr>
          <w:rFonts w:asciiTheme="minorHAnsi" w:hAnsiTheme="minorHAnsi" w:cstheme="minorHAnsi"/>
          <w:szCs w:val="24"/>
        </w:rPr>
        <w:t>08</w:t>
      </w:r>
      <w:r w:rsidR="00320AAD">
        <w:rPr>
          <w:rFonts w:asciiTheme="minorHAnsi" w:hAnsiTheme="minorHAnsi" w:cstheme="minorHAnsi"/>
          <w:szCs w:val="24"/>
        </w:rPr>
        <w:t xml:space="preserve"> </w:t>
      </w:r>
      <w:r w:rsidRPr="00C7097B">
        <w:rPr>
          <w:rFonts w:asciiTheme="minorHAnsi" w:hAnsiTheme="minorHAnsi" w:cstheme="minorHAnsi"/>
          <w:szCs w:val="24"/>
        </w:rPr>
        <w:t xml:space="preserve">de </w:t>
      </w:r>
      <w:r w:rsidR="00E11044">
        <w:rPr>
          <w:rFonts w:asciiTheme="minorHAnsi" w:hAnsiTheme="minorHAnsi" w:cstheme="minorHAnsi"/>
          <w:szCs w:val="24"/>
        </w:rPr>
        <w:t>novembro</w:t>
      </w:r>
      <w:r w:rsidRPr="00C7097B">
        <w:rPr>
          <w:rFonts w:asciiTheme="minorHAnsi" w:hAnsiTheme="minorHAnsi" w:cstheme="minorHAnsi"/>
          <w:szCs w:val="24"/>
        </w:rPr>
        <w:t xml:space="preserve"> de 2022.</w:t>
      </w:r>
    </w:p>
    <w:p w:rsidR="00612A86" w:rsidRPr="00C7097B" w:rsidP="00A779B8">
      <w:pPr>
        <w:autoSpaceDE w:val="0"/>
        <w:autoSpaceDN w:val="0"/>
        <w:adjustRightInd w:val="0"/>
        <w:spacing w:before="240" w:after="240" w:line="360" w:lineRule="auto"/>
        <w:ind w:firstLine="2268"/>
        <w:rPr>
          <w:rFonts w:asciiTheme="minorHAnsi" w:hAnsiTheme="minorHAnsi" w:cstheme="minorHAnsi"/>
          <w:szCs w:val="24"/>
        </w:rPr>
      </w:pPr>
    </w:p>
    <w:p w:rsidR="003B23DD" w:rsidP="00A779B8">
      <w:pPr>
        <w:pStyle w:val="BodyText"/>
        <w:spacing w:after="0"/>
        <w:jc w:val="center"/>
        <w:rPr>
          <w:rFonts w:asciiTheme="minorHAnsi" w:hAnsiTheme="minorHAnsi" w:cstheme="minorHAnsi"/>
          <w:b/>
          <w:szCs w:val="24"/>
        </w:rPr>
      </w:pPr>
    </w:p>
    <w:p w:rsidR="00A779B8" w:rsidRPr="00C7097B" w:rsidP="00A779B8">
      <w:pPr>
        <w:pStyle w:val="BodyText"/>
        <w:spacing w:after="0"/>
        <w:jc w:val="center"/>
        <w:rPr>
          <w:rFonts w:asciiTheme="minorHAnsi" w:hAnsiTheme="minorHAnsi" w:cstheme="minorHAnsi"/>
          <w:b/>
          <w:szCs w:val="24"/>
        </w:rPr>
      </w:pPr>
      <w:r w:rsidRPr="00C7097B">
        <w:rPr>
          <w:rFonts w:asciiTheme="minorHAnsi" w:hAnsiTheme="minorHAnsi" w:cstheme="minorHAnsi"/>
          <w:b/>
          <w:szCs w:val="24"/>
        </w:rPr>
        <w:t>Rosemeire de Souza Cardoso Barbosa</w:t>
      </w:r>
    </w:p>
    <w:p w:rsidR="00A779B8" w:rsidRPr="00C7097B" w:rsidP="00A779B8">
      <w:pPr>
        <w:pStyle w:val="BodyText"/>
        <w:spacing w:after="0"/>
        <w:jc w:val="center"/>
        <w:rPr>
          <w:rFonts w:asciiTheme="minorHAnsi" w:hAnsiTheme="minorHAnsi" w:cstheme="minorHAnsi"/>
          <w:b/>
          <w:szCs w:val="24"/>
        </w:rPr>
      </w:pPr>
      <w:r w:rsidRPr="00C7097B">
        <w:rPr>
          <w:rFonts w:asciiTheme="minorHAnsi" w:hAnsiTheme="minorHAnsi" w:cstheme="minorHAnsi"/>
          <w:b/>
          <w:szCs w:val="24"/>
        </w:rPr>
        <w:t>Procuradora - OAB/SP 308.298</w:t>
      </w:r>
    </w:p>
    <w:p w:rsidR="004C556E" w:rsidP="00E87C93">
      <w:pPr>
        <w:pStyle w:val="BodyText"/>
        <w:spacing w:after="0"/>
        <w:jc w:val="center"/>
        <w:rPr>
          <w:rFonts w:asciiTheme="minorHAnsi" w:hAnsiTheme="minorHAnsi" w:cstheme="minorHAnsi"/>
          <w:szCs w:val="24"/>
        </w:rPr>
      </w:pPr>
      <w:r w:rsidRPr="00C7097B">
        <w:rPr>
          <w:rFonts w:asciiTheme="minorHAnsi" w:hAnsiTheme="minorHAnsi" w:cstheme="minorHAnsi"/>
          <w:szCs w:val="24"/>
        </w:rPr>
        <w:t>Assinatura eletrônica</w:t>
      </w:r>
    </w:p>
    <w:sectPr w:rsidSect="00A779B8">
      <w:headerReference w:type="default" r:id="rId5"/>
      <w:footerReference w:type="default" r:id="rId6"/>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2C6366" w:rsidP="00305026">
            <w:pPr>
              <w:pStyle w:val="Footer"/>
              <w:jc w:val="right"/>
              <w:rPr>
                <w:sz w:val="18"/>
                <w:lang w:val="pt-PT"/>
              </w:rPr>
            </w:pPr>
          </w:p>
          <w:p w:rsidR="002C6366" w:rsidP="00305026">
            <w:pPr>
              <w:pStyle w:val="Footer"/>
              <w:ind w:right="-313"/>
              <w:jc w:val="center"/>
              <w:rPr>
                <w:sz w:val="18"/>
                <w:lang w:val="pt-PT"/>
              </w:rPr>
            </w:pPr>
            <w:r>
              <w:rPr>
                <w:sz w:val="18"/>
                <w:lang w:val="pt-PT"/>
              </w:rPr>
              <w:t>________________________________________________________________________________________</w:t>
            </w:r>
          </w:p>
          <w:p w:rsidR="002C6366" w:rsidP="00305026">
            <w:pPr>
              <w:pStyle w:val="Footer"/>
              <w:ind w:right="-313"/>
              <w:rPr>
                <w:sz w:val="18"/>
                <w:lang w:val="pt-PT"/>
              </w:rPr>
            </w:pPr>
            <w:r>
              <w:rPr>
                <w:sz w:val="18"/>
                <w:lang w:val="pt-PT"/>
              </w:rPr>
              <w:t xml:space="preserve">          Rua Antônio Schiavinato, 59, Residencial São Luis - Tel: (19) 3829.5310 - CEP: 13270-470</w:t>
            </w:r>
          </w:p>
          <w:p w:rsidR="002C6366" w:rsidP="00305026">
            <w:pPr>
              <w:pStyle w:val="Footer"/>
              <w:ind w:left="-1985" w:right="-313"/>
              <w:jc w:val="center"/>
              <w:rPr>
                <w:sz w:val="18"/>
                <w:lang w:val="pt-PT"/>
              </w:rPr>
            </w:pPr>
            <w:r>
              <w:rPr>
                <w:sz w:val="18"/>
                <w:lang w:val="pt-PT"/>
              </w:rPr>
              <w:t xml:space="preserve">    site: www.camaravalinhos.sp.gov.br   </w:t>
            </w:r>
          </w:p>
          <w:p w:rsidR="002C6366" w:rsidP="00305026">
            <w:pPr>
              <w:pStyle w:val="Footer"/>
              <w:ind w:left="-1985" w:right="-313"/>
              <w:jc w:val="center"/>
            </w:pPr>
          </w:p>
          <w:p w:rsidR="002C6366" w:rsidP="00305026">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16F30">
              <w:rPr>
                <w:b/>
                <w:bCs/>
                <w:noProof/>
                <w:sz w:val="18"/>
                <w:szCs w:val="18"/>
              </w:rPr>
              <w:t>8</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16F30">
              <w:rPr>
                <w:b/>
                <w:bCs/>
                <w:noProof/>
                <w:sz w:val="18"/>
                <w:szCs w:val="18"/>
              </w:rPr>
              <w:t>8</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C6366">
      <w:r>
        <w:separator/>
      </w:r>
    </w:p>
  </w:footnote>
  <w:footnote w:type="continuationSeparator" w:id="1">
    <w:p w:rsidR="002C6366">
      <w:r>
        <w:continuationSeparator/>
      </w:r>
    </w:p>
  </w:footnote>
  <w:footnote w:id="2">
    <w:p w:rsidR="002C6366" w:rsidP="00670477">
      <w:pPr>
        <w:pStyle w:val="FootnoteText"/>
      </w:pPr>
      <w:r>
        <w:rPr>
          <w:rStyle w:val="FootnoteReference"/>
        </w:rPr>
        <w:footnoteRef/>
      </w:r>
      <w:r>
        <w:t xml:space="preserve"> </w:t>
      </w:r>
      <w:r w:rsidRPr="00256992">
        <w:rPr>
          <w:rFonts w:asciiTheme="minorHAnsi" w:hAnsiTheme="minorHAnsi"/>
        </w:rPr>
        <w:t xml:space="preserve">Disponível em: </w:t>
      </w:r>
      <w:hyperlink r:id="rId1" w:history="1">
        <w:r w:rsidRPr="00256992">
          <w:rPr>
            <w:rStyle w:val="Hyperlink"/>
            <w:rFonts w:asciiTheme="minorHAnsi" w:hAnsiTheme="minorHAnsi"/>
          </w:rPr>
          <w:t>https://www.emagis.com.br/area-gratuita/que-negocio-e-esse/reserva-geral-de-administracao-versus-reserva-especifica-de-administracao/</w:t>
        </w:r>
      </w:hyperlink>
      <w:r>
        <w:rPr>
          <w:rFonts w:asciiTheme="minorHAnsi" w:hAnsiTheme="minorHAnsi"/>
        </w:rPr>
        <w:t>. Acesso em: 09/12</w:t>
      </w:r>
      <w:r w:rsidRPr="00256992">
        <w:rPr>
          <w:rFonts w:asciiTheme="minorHAnsi" w:hAnsiTheme="minorHAnsi"/>
        </w:rPr>
        <w:t>/2021.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C6366" w:rsidP="00305026">
    <w:pPr>
      <w:pStyle w:val="Header"/>
      <w:jc w:val="center"/>
      <w:rPr>
        <w:b/>
        <w:sz w:val="26"/>
        <w:lang w:val="pt-PT"/>
      </w:rPr>
    </w:pPr>
  </w:p>
  <w:p w:rsidR="002C6366" w:rsidP="00305026">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C6366" w:rsidP="00305026">
                          <w:r>
                            <w:rPr>
                              <w:noProof/>
                            </w:rPr>
                            <w:drawing>
                              <wp:inline distT="0" distB="0" distL="0" distR="0">
                                <wp:extent cx="876300" cy="850900"/>
                                <wp:effectExtent l="19050" t="0" r="0" b="0"/>
                                <wp:docPr id="211051897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73704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2941977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C6366" w:rsidP="00305026">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64698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29415643" r:id="rId4"/>
                    </w:object>
                  </w:p>
                </w:txbxContent>
              </v:textbox>
              <w10:wrap type="square"/>
            </v:shape>
          </w:pict>
        </mc:Fallback>
      </mc:AlternateContent>
    </w:r>
  </w:p>
  <w:p w:rsidR="002C6366" w:rsidP="00305026">
    <w:pPr>
      <w:pStyle w:val="Header"/>
      <w:jc w:val="center"/>
      <w:rPr>
        <w:b/>
        <w:sz w:val="28"/>
        <w:lang w:val="pt-PT"/>
      </w:rPr>
    </w:pPr>
    <w:r>
      <w:rPr>
        <w:b/>
        <w:sz w:val="28"/>
        <w:lang w:val="pt-PT"/>
      </w:rPr>
      <w:t>CÂMARA MUNICIPAL DE VALINHOS</w:t>
    </w:r>
  </w:p>
  <w:p w:rsidR="002C6366" w:rsidP="00305026">
    <w:pPr>
      <w:pStyle w:val="Header"/>
      <w:jc w:val="center"/>
      <w:rPr>
        <w:sz w:val="20"/>
        <w:lang w:val="pt-PT"/>
      </w:rPr>
    </w:pPr>
    <w:r>
      <w:rPr>
        <w:sz w:val="20"/>
        <w:lang w:val="pt-PT"/>
      </w:rPr>
      <w:t>ESTADO DE SÃO PAULO</w:t>
    </w:r>
  </w:p>
  <w:p w:rsidR="00C94DAA" w:rsidP="00305026">
    <w:pPr>
      <w:pStyle w:val="Header"/>
      <w:jc w:val="center"/>
      <w:rPr>
        <w:sz w:val="20"/>
        <w:lang w:val="pt-PT"/>
      </w:rPr>
    </w:pPr>
  </w:p>
  <w:p w:rsidR="00C94DAA" w:rsidP="00305026">
    <w:pPr>
      <w:pStyle w:val="Header"/>
      <w:jc w:val="center"/>
      <w:rPr>
        <w:sz w:val="20"/>
        <w:lang w:val="pt-PT"/>
      </w:rPr>
    </w:pPr>
  </w:p>
  <w:p w:rsidR="00C94DAA" w:rsidP="00305026">
    <w:pPr>
      <w:pStyle w:val="Header"/>
      <w:jc w:val="center"/>
      <w:rPr>
        <w:sz w:val="20"/>
        <w:lang w:val="pt-PT"/>
      </w:rPr>
    </w:pPr>
  </w:p>
  <w:p w:rsidR="00C94DAA" w:rsidP="0030502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4C3B42"/>
    <w:multiLevelType w:val="hybridMultilevel"/>
    <w:tmpl w:val="4B288CB0"/>
    <w:lvl w:ilvl="0">
      <w:start w:val="1"/>
      <w:numFmt w:val="bullet"/>
      <w:lvlText w:val=""/>
      <w:lvlJc w:val="left"/>
      <w:pPr>
        <w:ind w:left="2421" w:hanging="360"/>
      </w:pPr>
      <w:rPr>
        <w:rFonts w:ascii="Symbol" w:hAnsi="Symbol" w:hint="default"/>
      </w:rPr>
    </w:lvl>
    <w:lvl w:ilvl="1" w:tentative="1">
      <w:start w:val="1"/>
      <w:numFmt w:val="bullet"/>
      <w:lvlText w:val="o"/>
      <w:lvlJc w:val="left"/>
      <w:pPr>
        <w:ind w:left="3141" w:hanging="360"/>
      </w:pPr>
      <w:rPr>
        <w:rFonts w:ascii="Courier New" w:hAnsi="Courier New" w:cs="Courier New" w:hint="default"/>
      </w:rPr>
    </w:lvl>
    <w:lvl w:ilvl="2" w:tentative="1">
      <w:start w:val="1"/>
      <w:numFmt w:val="bullet"/>
      <w:lvlText w:val=""/>
      <w:lvlJc w:val="left"/>
      <w:pPr>
        <w:ind w:left="3861" w:hanging="360"/>
      </w:pPr>
      <w:rPr>
        <w:rFonts w:ascii="Wingdings" w:hAnsi="Wingdings" w:hint="default"/>
      </w:rPr>
    </w:lvl>
    <w:lvl w:ilvl="3" w:tentative="1">
      <w:start w:val="1"/>
      <w:numFmt w:val="bullet"/>
      <w:lvlText w:val=""/>
      <w:lvlJc w:val="left"/>
      <w:pPr>
        <w:ind w:left="4581" w:hanging="360"/>
      </w:pPr>
      <w:rPr>
        <w:rFonts w:ascii="Symbol" w:hAnsi="Symbol" w:hint="default"/>
      </w:rPr>
    </w:lvl>
    <w:lvl w:ilvl="4" w:tentative="1">
      <w:start w:val="1"/>
      <w:numFmt w:val="bullet"/>
      <w:lvlText w:val="o"/>
      <w:lvlJc w:val="left"/>
      <w:pPr>
        <w:ind w:left="5301" w:hanging="360"/>
      </w:pPr>
      <w:rPr>
        <w:rFonts w:ascii="Courier New" w:hAnsi="Courier New" w:cs="Courier New" w:hint="default"/>
      </w:rPr>
    </w:lvl>
    <w:lvl w:ilvl="5" w:tentative="1">
      <w:start w:val="1"/>
      <w:numFmt w:val="bullet"/>
      <w:lvlText w:val=""/>
      <w:lvlJc w:val="left"/>
      <w:pPr>
        <w:ind w:left="6021" w:hanging="360"/>
      </w:pPr>
      <w:rPr>
        <w:rFonts w:ascii="Wingdings" w:hAnsi="Wingdings" w:hint="default"/>
      </w:rPr>
    </w:lvl>
    <w:lvl w:ilvl="6" w:tentative="1">
      <w:start w:val="1"/>
      <w:numFmt w:val="bullet"/>
      <w:lvlText w:val=""/>
      <w:lvlJc w:val="left"/>
      <w:pPr>
        <w:ind w:left="6741" w:hanging="360"/>
      </w:pPr>
      <w:rPr>
        <w:rFonts w:ascii="Symbol" w:hAnsi="Symbol" w:hint="default"/>
      </w:rPr>
    </w:lvl>
    <w:lvl w:ilvl="7" w:tentative="1">
      <w:start w:val="1"/>
      <w:numFmt w:val="bullet"/>
      <w:lvlText w:val="o"/>
      <w:lvlJc w:val="left"/>
      <w:pPr>
        <w:ind w:left="7461" w:hanging="360"/>
      </w:pPr>
      <w:rPr>
        <w:rFonts w:ascii="Courier New" w:hAnsi="Courier New" w:cs="Courier New" w:hint="default"/>
      </w:rPr>
    </w:lvl>
    <w:lvl w:ilvl="8" w:tentative="1">
      <w:start w:val="1"/>
      <w:numFmt w:val="bullet"/>
      <w:lvlText w:val=""/>
      <w:lvlJc w:val="left"/>
      <w:pPr>
        <w:ind w:left="8181" w:hanging="360"/>
      </w:pPr>
      <w:rPr>
        <w:rFonts w:ascii="Wingdings" w:hAnsi="Wingdings" w:hint="default"/>
      </w:rPr>
    </w:lvl>
  </w:abstractNum>
  <w:abstractNum w:abstractNumId="1">
    <w:nsid w:val="0A3C3F22"/>
    <w:multiLevelType w:val="hybridMultilevel"/>
    <w:tmpl w:val="47B08C6C"/>
    <w:lvl w:ilvl="0">
      <w:start w:val="1"/>
      <w:numFmt w:val="upperRoman"/>
      <w:lvlText w:val="%1-"/>
      <w:lvlJc w:val="left"/>
      <w:pPr>
        <w:ind w:left="2988" w:hanging="72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55142353"/>
    <w:multiLevelType w:val="hybridMultilevel"/>
    <w:tmpl w:val="B0E847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67EF104D"/>
    <w:multiLevelType w:val="hybridMultilevel"/>
    <w:tmpl w:val="085C09F4"/>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4">
    <w:nsid w:val="721676B9"/>
    <w:multiLevelType w:val="hybridMultilevel"/>
    <w:tmpl w:val="D68C69BE"/>
    <w:lvl w:ilvl="0">
      <w:start w:val="1"/>
      <w:numFmt w:val="bullet"/>
      <w:lvlText w:val=""/>
      <w:lvlJc w:val="left"/>
      <w:pPr>
        <w:ind w:left="3555" w:hanging="360"/>
      </w:pPr>
      <w:rPr>
        <w:rFonts w:ascii="Symbol" w:hAnsi="Symbol" w:hint="default"/>
      </w:rPr>
    </w:lvl>
    <w:lvl w:ilvl="1" w:tentative="1">
      <w:start w:val="1"/>
      <w:numFmt w:val="bullet"/>
      <w:lvlText w:val="o"/>
      <w:lvlJc w:val="left"/>
      <w:pPr>
        <w:ind w:left="4275" w:hanging="360"/>
      </w:pPr>
      <w:rPr>
        <w:rFonts w:ascii="Courier New" w:hAnsi="Courier New" w:cs="Courier New" w:hint="default"/>
      </w:rPr>
    </w:lvl>
    <w:lvl w:ilvl="2" w:tentative="1">
      <w:start w:val="1"/>
      <w:numFmt w:val="bullet"/>
      <w:lvlText w:val=""/>
      <w:lvlJc w:val="left"/>
      <w:pPr>
        <w:ind w:left="4995" w:hanging="360"/>
      </w:pPr>
      <w:rPr>
        <w:rFonts w:ascii="Wingdings" w:hAnsi="Wingdings" w:hint="default"/>
      </w:rPr>
    </w:lvl>
    <w:lvl w:ilvl="3" w:tentative="1">
      <w:start w:val="1"/>
      <w:numFmt w:val="bullet"/>
      <w:lvlText w:val=""/>
      <w:lvlJc w:val="left"/>
      <w:pPr>
        <w:ind w:left="5715" w:hanging="360"/>
      </w:pPr>
      <w:rPr>
        <w:rFonts w:ascii="Symbol" w:hAnsi="Symbol" w:hint="default"/>
      </w:rPr>
    </w:lvl>
    <w:lvl w:ilvl="4" w:tentative="1">
      <w:start w:val="1"/>
      <w:numFmt w:val="bullet"/>
      <w:lvlText w:val="o"/>
      <w:lvlJc w:val="left"/>
      <w:pPr>
        <w:ind w:left="6435" w:hanging="360"/>
      </w:pPr>
      <w:rPr>
        <w:rFonts w:ascii="Courier New" w:hAnsi="Courier New" w:cs="Courier New" w:hint="default"/>
      </w:rPr>
    </w:lvl>
    <w:lvl w:ilvl="5" w:tentative="1">
      <w:start w:val="1"/>
      <w:numFmt w:val="bullet"/>
      <w:lvlText w:val=""/>
      <w:lvlJc w:val="left"/>
      <w:pPr>
        <w:ind w:left="7155" w:hanging="360"/>
      </w:pPr>
      <w:rPr>
        <w:rFonts w:ascii="Wingdings" w:hAnsi="Wingdings" w:hint="default"/>
      </w:rPr>
    </w:lvl>
    <w:lvl w:ilvl="6" w:tentative="1">
      <w:start w:val="1"/>
      <w:numFmt w:val="bullet"/>
      <w:lvlText w:val=""/>
      <w:lvlJc w:val="left"/>
      <w:pPr>
        <w:ind w:left="7875" w:hanging="360"/>
      </w:pPr>
      <w:rPr>
        <w:rFonts w:ascii="Symbol" w:hAnsi="Symbol" w:hint="default"/>
      </w:rPr>
    </w:lvl>
    <w:lvl w:ilvl="7" w:tentative="1">
      <w:start w:val="1"/>
      <w:numFmt w:val="bullet"/>
      <w:lvlText w:val="o"/>
      <w:lvlJc w:val="left"/>
      <w:pPr>
        <w:ind w:left="8595" w:hanging="360"/>
      </w:pPr>
      <w:rPr>
        <w:rFonts w:ascii="Courier New" w:hAnsi="Courier New" w:cs="Courier New" w:hint="default"/>
      </w:rPr>
    </w:lvl>
    <w:lvl w:ilvl="8" w:tentative="1">
      <w:start w:val="1"/>
      <w:numFmt w:val="bullet"/>
      <w:lvlText w:val=""/>
      <w:lvlJc w:val="left"/>
      <w:pPr>
        <w:ind w:left="9315" w:hanging="360"/>
      </w:pPr>
      <w:rPr>
        <w:rFonts w:ascii="Wingdings" w:hAnsi="Wingdings" w:hint="default"/>
      </w:rPr>
    </w:lvl>
  </w:abstractNum>
  <w:abstractNum w:abstractNumId="5">
    <w:nsid w:val="7E9C6DC9"/>
    <w:multiLevelType w:val="hybridMultilevel"/>
    <w:tmpl w:val="100AA2C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006EF"/>
    <w:rsid w:val="0000120E"/>
    <w:rsid w:val="00023B23"/>
    <w:rsid w:val="00025BA5"/>
    <w:rsid w:val="00031240"/>
    <w:rsid w:val="00071DCB"/>
    <w:rsid w:val="000A5F15"/>
    <w:rsid w:val="000F6AD8"/>
    <w:rsid w:val="001430C8"/>
    <w:rsid w:val="00175438"/>
    <w:rsid w:val="00186514"/>
    <w:rsid w:val="00190C35"/>
    <w:rsid w:val="001F3662"/>
    <w:rsid w:val="00221FD6"/>
    <w:rsid w:val="00256992"/>
    <w:rsid w:val="002B542D"/>
    <w:rsid w:val="002B612E"/>
    <w:rsid w:val="002C6366"/>
    <w:rsid w:val="002F41B0"/>
    <w:rsid w:val="00303558"/>
    <w:rsid w:val="00305026"/>
    <w:rsid w:val="003202E4"/>
    <w:rsid w:val="00320AAD"/>
    <w:rsid w:val="003B23DD"/>
    <w:rsid w:val="003D4024"/>
    <w:rsid w:val="003E2710"/>
    <w:rsid w:val="003F3AC5"/>
    <w:rsid w:val="003F6BAE"/>
    <w:rsid w:val="00402AEE"/>
    <w:rsid w:val="00432783"/>
    <w:rsid w:val="00440BE4"/>
    <w:rsid w:val="00474AE3"/>
    <w:rsid w:val="0049137E"/>
    <w:rsid w:val="004C556E"/>
    <w:rsid w:val="004F0424"/>
    <w:rsid w:val="0059369F"/>
    <w:rsid w:val="00596275"/>
    <w:rsid w:val="005C1929"/>
    <w:rsid w:val="005C2C20"/>
    <w:rsid w:val="005D6203"/>
    <w:rsid w:val="00612A86"/>
    <w:rsid w:val="00616F30"/>
    <w:rsid w:val="00646BC4"/>
    <w:rsid w:val="00670477"/>
    <w:rsid w:val="00692D8D"/>
    <w:rsid w:val="006C49A0"/>
    <w:rsid w:val="006E10BA"/>
    <w:rsid w:val="00700A9B"/>
    <w:rsid w:val="00725BB6"/>
    <w:rsid w:val="00752795"/>
    <w:rsid w:val="00783082"/>
    <w:rsid w:val="007A64BE"/>
    <w:rsid w:val="007D2626"/>
    <w:rsid w:val="007E75D4"/>
    <w:rsid w:val="007F786A"/>
    <w:rsid w:val="00811682"/>
    <w:rsid w:val="00836A3D"/>
    <w:rsid w:val="008A6E71"/>
    <w:rsid w:val="008F1372"/>
    <w:rsid w:val="00914AA0"/>
    <w:rsid w:val="0091771B"/>
    <w:rsid w:val="00960DA6"/>
    <w:rsid w:val="00977D30"/>
    <w:rsid w:val="009D2232"/>
    <w:rsid w:val="00A02EDC"/>
    <w:rsid w:val="00A11C65"/>
    <w:rsid w:val="00A65E03"/>
    <w:rsid w:val="00A779B8"/>
    <w:rsid w:val="00AD2EF4"/>
    <w:rsid w:val="00AF01F9"/>
    <w:rsid w:val="00B13460"/>
    <w:rsid w:val="00B20113"/>
    <w:rsid w:val="00B34441"/>
    <w:rsid w:val="00B37E3D"/>
    <w:rsid w:val="00B477AF"/>
    <w:rsid w:val="00B93D6E"/>
    <w:rsid w:val="00BC4A54"/>
    <w:rsid w:val="00BF18C3"/>
    <w:rsid w:val="00C0429C"/>
    <w:rsid w:val="00C26555"/>
    <w:rsid w:val="00C635CA"/>
    <w:rsid w:val="00C7097B"/>
    <w:rsid w:val="00C94DAA"/>
    <w:rsid w:val="00D46BFD"/>
    <w:rsid w:val="00D8745E"/>
    <w:rsid w:val="00D906D6"/>
    <w:rsid w:val="00D92C9A"/>
    <w:rsid w:val="00D932DC"/>
    <w:rsid w:val="00D940F7"/>
    <w:rsid w:val="00DB29E0"/>
    <w:rsid w:val="00DD221D"/>
    <w:rsid w:val="00DE0890"/>
    <w:rsid w:val="00DE466D"/>
    <w:rsid w:val="00DF2C1A"/>
    <w:rsid w:val="00E11044"/>
    <w:rsid w:val="00E41473"/>
    <w:rsid w:val="00E87C93"/>
    <w:rsid w:val="00E947AD"/>
    <w:rsid w:val="00EE6F91"/>
    <w:rsid w:val="00F33184"/>
    <w:rsid w:val="00F403D1"/>
    <w:rsid w:val="00F53BEF"/>
    <w:rsid w:val="00F83D43"/>
    <w:rsid w:val="00FA652F"/>
    <w:rsid w:val="00FD715F"/>
    <w:rsid w:val="00FF033E"/>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paragraph" w:styleId="ListParagraph">
    <w:name w:val="List Paragraph"/>
    <w:basedOn w:val="Normal"/>
    <w:uiPriority w:val="34"/>
    <w:qFormat/>
    <w:rsid w:val="009D2232"/>
    <w:pPr>
      <w:ind w:left="720"/>
      <w:contextualSpacing/>
    </w:pPr>
  </w:style>
  <w:style w:type="paragraph" w:styleId="NormalWeb">
    <w:name w:val="Normal (Web)"/>
    <w:basedOn w:val="Normal"/>
    <w:uiPriority w:val="99"/>
    <w:unhideWhenUsed/>
    <w:rsid w:val="00303558"/>
    <w:pPr>
      <w:spacing w:before="100" w:beforeAutospacing="1" w:after="100" w:afterAutospacing="1"/>
    </w:pPr>
    <w:rPr>
      <w:rFonts w:ascii="Times New Roman" w:hAnsi="Times New Roman"/>
      <w:szCs w:val="24"/>
    </w:rPr>
  </w:style>
  <w:style w:type="paragraph" w:customStyle="1" w:styleId="paragrafo">
    <w:name w:val="paragrafo"/>
    <w:basedOn w:val="Normal"/>
    <w:rsid w:val="00303558"/>
    <w:pPr>
      <w:spacing w:before="100" w:beforeAutospacing="1" w:after="100" w:afterAutospacing="1"/>
    </w:pPr>
    <w:rPr>
      <w:rFonts w:ascii="Times New Roman" w:hAnsi="Times New Roman"/>
      <w:szCs w:val="24"/>
    </w:rPr>
  </w:style>
  <w:style w:type="paragraph" w:customStyle="1" w:styleId="item">
    <w:name w:val="item"/>
    <w:basedOn w:val="Normal"/>
    <w:rsid w:val="00303558"/>
    <w:pPr>
      <w:spacing w:before="100" w:beforeAutospacing="1" w:after="100" w:afterAutospacing="1"/>
    </w:pPr>
    <w:rPr>
      <w:rFonts w:ascii="Times New Roman" w:hAnsi="Times New Roman"/>
      <w:szCs w:val="24"/>
    </w:rPr>
  </w:style>
  <w:style w:type="character" w:styleId="Hyperlink">
    <w:name w:val="Hyperlink"/>
    <w:basedOn w:val="DefaultParagraphFont"/>
    <w:uiPriority w:val="99"/>
    <w:unhideWhenUsed/>
    <w:rsid w:val="00303558"/>
    <w:rPr>
      <w:color w:val="0000FF"/>
      <w:u w:val="single"/>
    </w:rPr>
  </w:style>
  <w:style w:type="paragraph" w:styleId="FootnoteText">
    <w:name w:val="footnote text"/>
    <w:basedOn w:val="Normal"/>
    <w:link w:val="TextodenotaderodapChar"/>
    <w:uiPriority w:val="99"/>
    <w:semiHidden/>
    <w:unhideWhenUsed/>
    <w:rsid w:val="00C635CA"/>
    <w:rPr>
      <w:sz w:val="20"/>
    </w:rPr>
  </w:style>
  <w:style w:type="character" w:customStyle="1" w:styleId="TextodenotaderodapChar">
    <w:name w:val="Texto de nota de rodapé Char"/>
    <w:basedOn w:val="DefaultParagraphFont"/>
    <w:link w:val="FootnoteText"/>
    <w:uiPriority w:val="99"/>
    <w:semiHidden/>
    <w:rsid w:val="00C635C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C635CA"/>
    <w:rPr>
      <w:vertAlign w:val="superscript"/>
    </w:rPr>
  </w:style>
  <w:style w:type="character" w:styleId="Strong">
    <w:name w:val="Strong"/>
    <w:basedOn w:val="DefaultParagraphFont"/>
    <w:uiPriority w:val="22"/>
    <w:qFormat/>
    <w:rsid w:val="006C4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8</Pages>
  <Words>2087</Words>
  <Characters>11276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19</cp:revision>
  <dcterms:created xsi:type="dcterms:W3CDTF">2022-10-21T17:27:00Z</dcterms:created>
  <dcterms:modified xsi:type="dcterms:W3CDTF">2022-11-08T16:36:00Z</dcterms:modified>
</cp:coreProperties>
</file>