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776E41" w:rsidP="00230290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776E41">
        <w:rPr>
          <w:rFonts w:ascii="Calibri" w:hAnsi="Calibri" w:cs="Calibri"/>
          <w:b/>
          <w:color w:val="auto"/>
        </w:rPr>
        <w:t>Parecer Jurídico nº</w:t>
      </w:r>
      <w:r w:rsidRPr="00776E41" w:rsidR="00DA5745">
        <w:rPr>
          <w:rFonts w:ascii="Calibri" w:hAnsi="Calibri" w:cs="Calibri"/>
          <w:b/>
          <w:color w:val="auto"/>
        </w:rPr>
        <w:t xml:space="preserve"> </w:t>
      </w:r>
      <w:r w:rsidRPr="00776E41" w:rsidR="00776E41">
        <w:rPr>
          <w:rFonts w:ascii="Calibri" w:hAnsi="Calibri" w:cs="Calibri"/>
          <w:b/>
          <w:color w:val="auto"/>
        </w:rPr>
        <w:t>386</w:t>
      </w:r>
      <w:r w:rsidRPr="00776E41">
        <w:rPr>
          <w:rFonts w:ascii="Calibri" w:hAnsi="Calibri" w:cs="Calibri"/>
          <w:b/>
          <w:color w:val="auto"/>
        </w:rPr>
        <w:t>/202</w:t>
      </w:r>
      <w:r w:rsidRPr="00776E41" w:rsidR="00DA5745">
        <w:rPr>
          <w:rFonts w:ascii="Calibri" w:hAnsi="Calibri" w:cs="Calibri"/>
          <w:b/>
          <w:color w:val="auto"/>
        </w:rPr>
        <w:t>2</w:t>
      </w:r>
      <w:r w:rsidRPr="00776E41">
        <w:rPr>
          <w:rFonts w:ascii="Calibri" w:hAnsi="Calibri" w:cs="Calibri"/>
          <w:b/>
          <w:color w:val="auto"/>
        </w:rPr>
        <w:t>.</w:t>
      </w:r>
    </w:p>
    <w:p w:rsidR="00A075A7" w:rsidRPr="00A075A7" w:rsidP="00B6516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="00DF5B72">
        <w:rPr>
          <w:rFonts w:ascii="Calibri" w:hAnsi="Calibri" w:cs="Calibri"/>
          <w:b/>
          <w:bCs/>
          <w:szCs w:val="24"/>
        </w:rPr>
        <w:t xml:space="preserve">Projeto de Lei nº </w:t>
      </w:r>
      <w:r>
        <w:rPr>
          <w:rFonts w:ascii="Calibri" w:hAnsi="Calibri" w:cs="Calibri"/>
          <w:b/>
          <w:bCs/>
          <w:szCs w:val="24"/>
        </w:rPr>
        <w:t>211</w:t>
      </w:r>
      <w:r w:rsidRPr="00DA5745">
        <w:rPr>
          <w:rFonts w:ascii="Calibri" w:hAnsi="Calibri" w:cs="Calibri"/>
          <w:b/>
          <w:bCs/>
          <w:szCs w:val="24"/>
        </w:rPr>
        <w:t>/202</w:t>
      </w:r>
      <w:r w:rsidRPr="00DA5745" w:rsidR="00DA5745">
        <w:rPr>
          <w:rFonts w:ascii="Calibri" w:hAnsi="Calibri" w:cs="Calibri"/>
          <w:b/>
          <w:bCs/>
          <w:szCs w:val="24"/>
        </w:rPr>
        <w:t>2</w:t>
      </w:r>
      <w:r w:rsidR="00DA5745">
        <w:rPr>
          <w:rFonts w:ascii="Calibri" w:hAnsi="Calibri" w:cs="Calibri"/>
          <w:b/>
          <w:bCs/>
          <w:szCs w:val="24"/>
        </w:rPr>
        <w:t xml:space="preserve"> </w:t>
      </w:r>
      <w:r w:rsidR="00DF5B72">
        <w:rPr>
          <w:rFonts w:ascii="Calibri" w:hAnsi="Calibri" w:cs="Calibri"/>
          <w:b/>
          <w:bCs/>
          <w:szCs w:val="24"/>
        </w:rPr>
        <w:t>–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A075A7">
        <w:rPr>
          <w:rFonts w:ascii="Calibri" w:hAnsi="Calibri" w:cs="Calibri"/>
          <w:szCs w:val="24"/>
        </w:rPr>
        <w:t>Institui a Semana Municipal da Atividade Física no Município de Valinhos, nos seguintes termos.</w:t>
      </w:r>
    </w:p>
    <w:p w:rsidR="00DA5745" w:rsidRPr="00DA5745" w:rsidP="00B6516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Autoria d</w:t>
      </w:r>
      <w:r w:rsidR="00A075A7">
        <w:rPr>
          <w:rFonts w:ascii="Calibri" w:hAnsi="Calibri" w:cs="Calibri"/>
          <w:b/>
          <w:bCs/>
          <w:szCs w:val="24"/>
        </w:rPr>
        <w:t>a</w:t>
      </w:r>
      <w:r w:rsidRPr="00DA5745">
        <w:rPr>
          <w:rFonts w:ascii="Calibri" w:hAnsi="Calibri" w:cs="Calibri"/>
          <w:b/>
          <w:bCs/>
          <w:szCs w:val="24"/>
        </w:rPr>
        <w:t xml:space="preserve"> Vereador</w:t>
      </w:r>
      <w:r w:rsidR="00A075A7">
        <w:rPr>
          <w:rFonts w:ascii="Calibri" w:hAnsi="Calibri" w:cs="Calibri"/>
          <w:b/>
          <w:bCs/>
          <w:szCs w:val="24"/>
        </w:rPr>
        <w:t>a Simone Bellini</w:t>
      </w:r>
      <w:r w:rsidRPr="00DA5745">
        <w:rPr>
          <w:rFonts w:ascii="Calibri" w:hAnsi="Calibri" w:cs="Calibri"/>
          <w:b/>
          <w:bCs/>
          <w:szCs w:val="24"/>
        </w:rPr>
        <w:t>.</w:t>
      </w:r>
    </w:p>
    <w:p w:rsidR="00DA5745" w:rsidRP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bookmarkStart w:id="0" w:name="_GoBack"/>
      <w:bookmarkEnd w:id="0"/>
    </w:p>
    <w:p w:rsidR="00230290" w:rsidRPr="003A7521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813294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1A38D5" w:rsidRPr="00A075A7" w:rsidP="001A38D5">
      <w:pPr>
        <w:spacing w:after="240" w:line="360" w:lineRule="auto"/>
        <w:ind w:firstLine="1701"/>
        <w:jc w:val="both"/>
        <w:rPr>
          <w:rFonts w:ascii="Calibri" w:hAnsi="Calibri" w:cs="Calibri"/>
          <w:i/>
          <w:szCs w:val="24"/>
        </w:rPr>
      </w:pPr>
      <w:r w:rsidRPr="003A7521">
        <w:rPr>
          <w:rFonts w:ascii="Calibri" w:hAnsi="Calibri" w:cs="Calibri"/>
          <w:szCs w:val="24"/>
        </w:rPr>
        <w:t xml:space="preserve">Trata-se de parecer jurídico relativo ao projeto em epígrafe que </w:t>
      </w:r>
      <w:r w:rsidRPr="00A075A7">
        <w:rPr>
          <w:rFonts w:ascii="Calibri" w:hAnsi="Calibri" w:cs="Calibri"/>
          <w:i/>
          <w:szCs w:val="24"/>
        </w:rPr>
        <w:t>“</w:t>
      </w:r>
      <w:r w:rsidRPr="00A075A7" w:rsidR="00A075A7">
        <w:rPr>
          <w:rFonts w:ascii="Calibri" w:hAnsi="Calibri" w:cs="Calibri"/>
          <w:i/>
          <w:szCs w:val="24"/>
        </w:rPr>
        <w:t>Institui a Semana Municipal da Atividade Física no Município de Valinhos, nos seguintes termos</w:t>
      </w:r>
      <w:r w:rsidRPr="00A075A7">
        <w:rPr>
          <w:rFonts w:ascii="Calibri" w:hAnsi="Calibri" w:cs="Calibri"/>
          <w:i/>
        </w:rPr>
        <w:t>”.</w:t>
      </w:r>
    </w:p>
    <w:p w:rsidR="00230290" w:rsidRPr="003A7521" w:rsidP="003774B8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i/>
          <w:szCs w:val="24"/>
        </w:rPr>
        <w:t>Ab initio</w:t>
      </w:r>
      <w:r w:rsidRPr="003A7521">
        <w:rPr>
          <w:rFonts w:ascii="Calibri" w:hAnsi="Calibri" w:cs="Calibri"/>
          <w:szCs w:val="24"/>
        </w:rPr>
        <w:t>, cumpre destacar a competência regimental da Comissão de Justiça e Redação, estabelecida no artigo 38.</w:t>
      </w:r>
    </w:p>
    <w:p w:rsidR="00230290" w:rsidRPr="003A7521" w:rsidP="0072713C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 w:rsidRPr="003A7521">
        <w:rPr>
          <w:rFonts w:ascii="Calibri" w:hAnsi="Calibri" w:cs="Calibri"/>
          <w:szCs w:val="24"/>
        </w:rPr>
        <w:t xml:space="preserve"> </w:t>
      </w:r>
      <w:r w:rsidRPr="003A7521">
        <w:rPr>
          <w:rFonts w:ascii="Calibri" w:hAnsi="Calibri" w:cs="Calibri"/>
          <w:szCs w:val="24"/>
        </w:rPr>
        <w:tab/>
      </w: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ressalta-se que a opinião jurídica </w:t>
      </w:r>
      <w:r>
        <w:rPr>
          <w:rFonts w:ascii="Calibri" w:hAnsi="Calibri" w:cs="Calibri"/>
          <w:szCs w:val="24"/>
        </w:rPr>
        <w:t>exarada nesse</w:t>
      </w:r>
      <w:r w:rsidRPr="003A7521">
        <w:rPr>
          <w:rFonts w:ascii="Calibri" w:hAnsi="Calibri" w:cs="Calibri"/>
          <w:szCs w:val="24"/>
        </w:rPr>
        <w:t xml:space="preserve"> parecer</w:t>
      </w:r>
      <w:r>
        <w:rPr>
          <w:rFonts w:ascii="Calibri" w:hAnsi="Calibri" w:cs="Calibri"/>
          <w:szCs w:val="24"/>
        </w:rPr>
        <w:t xml:space="preserve"> não tem força vinculante, portanto é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peça opinativa,</w:t>
      </w:r>
      <w:r w:rsidRPr="003A7521">
        <w:rPr>
          <w:rFonts w:ascii="Calibri" w:hAnsi="Calibri" w:cs="Calibri"/>
          <w:szCs w:val="24"/>
        </w:rPr>
        <w:t xml:space="preserve"> não fundamentando decisão proferida pelas Comissões.</w:t>
      </w:r>
      <w:r w:rsidR="000C474F">
        <w:rPr>
          <w:rFonts w:ascii="Calibri" w:hAnsi="Calibri" w:cs="Calibri"/>
          <w:szCs w:val="24"/>
        </w:rPr>
        <w:t xml:space="preserve"> </w:t>
      </w:r>
      <w:r w:rsidRPr="003A7521">
        <w:rPr>
          <w:rFonts w:ascii="Calibri" w:hAnsi="Calibri" w:cs="Calibri"/>
        </w:rPr>
        <w:t xml:space="preserve">Nesse sentido é o entendimento do </w:t>
      </w:r>
      <w:r>
        <w:rPr>
          <w:rFonts w:ascii="Calibri" w:hAnsi="Calibri" w:cs="Calibri"/>
        </w:rPr>
        <w:t xml:space="preserve">C. </w:t>
      </w:r>
      <w:r w:rsidRPr="003A7521">
        <w:rPr>
          <w:rFonts w:ascii="Calibri" w:hAnsi="Calibri" w:cs="Calibri"/>
        </w:rPr>
        <w:t xml:space="preserve">Supremo Tribunal Federal: </w:t>
      </w:r>
    </w:p>
    <w:p w:rsidR="00230290" w:rsidP="00230290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3A7521">
        <w:rPr>
          <w:rFonts w:ascii="Calibri" w:hAnsi="Calibri" w:cs="Calibri"/>
          <w:i/>
          <w:color w:val="auto"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>ex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>oficio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30290" w:rsidRPr="0042268E" w:rsidP="00230290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230290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Desse modo, passamos à</w:t>
      </w:r>
      <w:r w:rsidRPr="003A7521">
        <w:rPr>
          <w:rFonts w:ascii="Calibri" w:hAnsi="Calibri" w:cs="Calibri"/>
          <w:szCs w:val="24"/>
        </w:rPr>
        <w:t xml:space="preserve"> análise técnica d</w:t>
      </w:r>
      <w:r>
        <w:rPr>
          <w:rFonts w:ascii="Calibri" w:hAnsi="Calibri" w:cs="Calibri"/>
          <w:szCs w:val="24"/>
        </w:rPr>
        <w:t>o projeto em epígrafe referenciado.</w:t>
      </w:r>
    </w:p>
    <w:p w:rsidR="000C474F" w:rsidRPr="00083EDA" w:rsidP="000C474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83EDA">
        <w:rPr>
          <w:rFonts w:asciiTheme="minorHAnsi" w:hAnsiTheme="minorHAnsi" w:cstheme="minorHAnsi"/>
          <w:color w:val="auto"/>
        </w:rPr>
        <w:t xml:space="preserve">A proposta em exame no que tange à </w:t>
      </w:r>
      <w:r w:rsidRPr="00672474">
        <w:rPr>
          <w:rFonts w:asciiTheme="minorHAnsi" w:hAnsiTheme="minorHAnsi" w:cstheme="minorHAnsi"/>
          <w:b/>
          <w:color w:val="auto"/>
        </w:rPr>
        <w:t>competência municipal</w:t>
      </w:r>
      <w:r>
        <w:rPr>
          <w:rFonts w:asciiTheme="minorHAnsi" w:hAnsiTheme="minorHAnsi" w:cstheme="minorHAnsi"/>
          <w:color w:val="auto"/>
        </w:rPr>
        <w:t xml:space="preserve"> </w:t>
      </w:r>
      <w:r w:rsidRPr="00083EDA">
        <w:rPr>
          <w:rFonts w:asciiTheme="minorHAnsi" w:hAnsiTheme="minorHAnsi" w:cstheme="minorHAnsi"/>
          <w:color w:val="auto"/>
        </w:rPr>
        <w:t>afigura-se revestida de constitucionalidade, pois por força da Constituição os Municípios foram dotados de autonomia legislativa, que vem consubstanciada na capacidade de legislar so</w:t>
      </w:r>
      <w:r>
        <w:rPr>
          <w:rFonts w:asciiTheme="minorHAnsi" w:hAnsiTheme="minorHAnsi" w:cstheme="minorHAnsi"/>
          <w:color w:val="auto"/>
        </w:rPr>
        <w:t>bre assuntos de interesse local</w:t>
      </w:r>
      <w:r w:rsidRPr="00083EDA">
        <w:rPr>
          <w:rFonts w:asciiTheme="minorHAnsi" w:hAnsiTheme="minorHAnsi" w:cstheme="minorHAnsi"/>
          <w:color w:val="auto"/>
        </w:rPr>
        <w:t xml:space="preserve"> (art. 30, </w:t>
      </w:r>
      <w:r>
        <w:rPr>
          <w:rFonts w:asciiTheme="minorHAnsi" w:hAnsiTheme="minorHAnsi" w:cstheme="minorHAnsi"/>
          <w:color w:val="auto"/>
        </w:rPr>
        <w:t xml:space="preserve">inciso </w:t>
      </w:r>
      <w:r w:rsidRPr="00083EDA">
        <w:rPr>
          <w:rFonts w:asciiTheme="minorHAnsi" w:hAnsiTheme="minorHAnsi" w:cstheme="minorHAnsi"/>
          <w:color w:val="auto"/>
        </w:rPr>
        <w:t xml:space="preserve">I, da CRFB). </w:t>
      </w:r>
    </w:p>
    <w:p w:rsidR="005B347A" w:rsidRPr="00083EDA" w:rsidP="005B347A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83EDA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legislar sobre tudo quanto respeite ao </w:t>
      </w:r>
      <w:r w:rsidRPr="00B73ABA">
        <w:rPr>
          <w:rFonts w:asciiTheme="minorHAnsi" w:hAnsiTheme="minorHAnsi" w:cstheme="minorHAnsi"/>
          <w:i/>
          <w:sz w:val="22"/>
          <w:szCs w:val="22"/>
          <w:u w:val="single"/>
        </w:rPr>
        <w:t>interesse local, tendo como objetivo o pleno desenvolvimento de suas funções sociais e garantir o bem-estar de seus habitantes,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 cabendo-lhe privativamente, entre outras, as seguintes atribuições: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B73AB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B73ABA">
        <w:rPr>
          <w:rFonts w:asciiTheme="minorHAnsi" w:hAnsiTheme="minorHAnsi" w:cstheme="minorHAnsi"/>
          <w:i/>
          <w:sz w:val="22"/>
          <w:szCs w:val="22"/>
        </w:rPr>
        <w:t>Art.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3ABA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  <w:r w:rsidR="00B73ABA">
        <w:rPr>
          <w:rFonts w:asciiTheme="minorHAnsi" w:hAnsiTheme="minorHAnsi" w:cstheme="minorHAnsi"/>
          <w:i/>
          <w:sz w:val="22"/>
          <w:szCs w:val="22"/>
        </w:rPr>
        <w:t>”</w:t>
      </w:r>
    </w:p>
    <w:p w:rsidR="005B347A" w:rsidRPr="00083EDA" w:rsidP="005B34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83EDA">
        <w:rPr>
          <w:rFonts w:asciiTheme="minorHAnsi" w:hAnsiTheme="minorHAnsi" w:cstheme="minorHAnsi"/>
          <w:szCs w:val="24"/>
        </w:rPr>
        <w:tab/>
      </w:r>
      <w:r w:rsidRPr="00083EDA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5B347A" w:rsidRPr="00B73ABA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essa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privatividade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, essa unicidade, bem reduzido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B73ABA">
        <w:rPr>
          <w:rFonts w:eastAsia="Calibri" w:asciiTheme="minorHAnsi" w:hAnsiTheme="minorHAnsi" w:cstheme="minorHAnsi"/>
          <w:b/>
          <w:i/>
          <w:color w:val="000000"/>
          <w:sz w:val="22"/>
          <w:szCs w:val="22"/>
        </w:rPr>
        <w:t xml:space="preserve">O que define e caracteriza o 'interesse local', inscrito como dogma constitucional, é a </w:t>
      </w:r>
      <w:r w:rsidRPr="00B73ABA">
        <w:rPr>
          <w:rFonts w:eastAsia="Calibri" w:asciiTheme="minorHAnsi" w:hAnsiTheme="minorHAnsi" w:cstheme="minorHAnsi"/>
          <w:b/>
          <w:i/>
          <w:color w:val="000000"/>
          <w:sz w:val="22"/>
          <w:szCs w:val="22"/>
        </w:rPr>
        <w:t xml:space="preserve">predominância do interesse do Município sobre o do Estado ou da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União". (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gn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)</w:t>
      </w:r>
    </w:p>
    <w:p w:rsidR="005B347A" w:rsidRPr="00B73ABA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(in Direito Municipal Brasileiro, 6ª ed., atualizada por Izabel Camargo Lopes Monteiro e Yara Darcy Police Monteiro, 1993, Malheiros, p.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98)</w:t>
      </w:r>
    </w:p>
    <w:p w:rsidR="005B347A" w:rsidRPr="00564577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12"/>
          <w:szCs w:val="12"/>
        </w:rPr>
      </w:pPr>
    </w:p>
    <w:p w:rsidR="00230290" w:rsidRPr="003A7521" w:rsidP="00DF5B7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83ED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083EDA">
        <w:rPr>
          <w:rFonts w:asciiTheme="minorHAnsi" w:hAnsiTheme="minorHAnsi" w:cstheme="minorHAnsi"/>
          <w:color w:val="FF0000"/>
          <w:szCs w:val="24"/>
        </w:rPr>
        <w:tab/>
      </w: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no que tange à </w:t>
      </w:r>
      <w:r w:rsidRPr="007F2CCB">
        <w:rPr>
          <w:rFonts w:ascii="Calibri" w:hAnsi="Calibri" w:cs="Calibri"/>
          <w:b/>
          <w:szCs w:val="24"/>
        </w:rPr>
        <w:t xml:space="preserve">competência para deflagrar o processo legislativo, </w:t>
      </w:r>
      <w:r>
        <w:rPr>
          <w:rFonts w:ascii="Calibri" w:hAnsi="Calibri" w:cs="Calibri"/>
          <w:szCs w:val="24"/>
        </w:rPr>
        <w:t>o</w:t>
      </w:r>
      <w:r w:rsidRPr="003A7521">
        <w:rPr>
          <w:rFonts w:ascii="Calibri" w:hAnsi="Calibri" w:cs="Calibri"/>
          <w:szCs w:val="24"/>
        </w:rPr>
        <w:t xml:space="preserve"> artigo 61, § 1º, </w:t>
      </w:r>
      <w:r>
        <w:rPr>
          <w:rFonts w:ascii="Calibri" w:hAnsi="Calibri" w:cs="Calibri"/>
          <w:szCs w:val="24"/>
        </w:rPr>
        <w:t xml:space="preserve">da CF </w:t>
      </w:r>
      <w:r w:rsidRPr="003A7521">
        <w:rPr>
          <w:rFonts w:ascii="Calibri" w:hAnsi="Calibri" w:cs="Calibri"/>
          <w:szCs w:val="24"/>
        </w:rPr>
        <w:t>estabelece as hi</w:t>
      </w:r>
      <w:r>
        <w:rPr>
          <w:rFonts w:ascii="Calibri" w:hAnsi="Calibri" w:cs="Calibri"/>
          <w:szCs w:val="24"/>
        </w:rPr>
        <w:t>póteses de iniciativa privativa</w:t>
      </w:r>
      <w:r w:rsidRPr="003A7521">
        <w:rPr>
          <w:rFonts w:ascii="Calibri" w:hAnsi="Calibri" w:cs="Calibri"/>
          <w:szCs w:val="24"/>
        </w:rPr>
        <w:t>: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Constituição.</w:t>
      </w:r>
    </w:p>
    <w:p w:rsidR="00230290" w:rsidRPr="00315DC3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15DC3">
        <w:rPr>
          <w:rFonts w:ascii="Calibri" w:hAnsi="Calibri" w:cs="Calibri"/>
          <w:i/>
          <w:sz w:val="22"/>
          <w:szCs w:val="22"/>
        </w:rPr>
        <w:t>§ 1º São de iniciativa privativa do Presidente da República as leis que: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fixem ou modifiquem os efetivos das Forças Armadas;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II - disponham sobre: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a) criação de cargos, funções ou empregos públicos na administração direta e autárquica ou aumento de sua remuneração;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b) organização administrativa e judiciária, matéria tributária e orçamentária, serviços </w:t>
      </w:r>
      <w:r w:rsidRPr="003A7521">
        <w:rPr>
          <w:rFonts w:ascii="Calibri" w:hAnsi="Calibri" w:cs="Calibri"/>
          <w:i/>
          <w:sz w:val="22"/>
          <w:szCs w:val="22"/>
        </w:rPr>
        <w:t>públicos e pessoal da administração dos Territórios</w:t>
      </w:r>
      <w:r w:rsidRPr="003A7521">
        <w:rPr>
          <w:rFonts w:ascii="Calibri" w:hAnsi="Calibri" w:cs="Calibri"/>
          <w:i/>
          <w:sz w:val="22"/>
          <w:szCs w:val="22"/>
        </w:rPr>
        <w:t>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Style w:val="apple-converted-space"/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c) servidores públicos da União e Territórios, seu regime jurídico, provimento de cargos, estabilidade e aposentadoria;</w:t>
      </w:r>
      <w:r w:rsidRPr="003A7521">
        <w:rPr>
          <w:rStyle w:val="apple-converted-space"/>
          <w:rFonts w:ascii="Calibri" w:hAnsi="Calibri" w:cs="Calibri"/>
          <w:i/>
          <w:sz w:val="22"/>
          <w:szCs w:val="22"/>
        </w:rPr>
        <w:t> 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d) organização do Ministério Público e da Defensoria Pública da União, bem como normas gerais para a organização do Ministério Público e da Defensoria Pública dos Estados, do Distrito Federal e dos Territórios;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Style w:val="apple-converted-space"/>
          <w:rFonts w:ascii="Calibri" w:hAnsi="Calibri" w:cs="Calibri"/>
          <w:i/>
          <w:iCs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e) criação e extinção de Ministérios e órgãos da administração pública, observado</w:t>
      </w:r>
      <w:r w:rsidRPr="003A7521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  <w:r w:rsidRPr="003A7521">
        <w:rPr>
          <w:rFonts w:ascii="Calibri" w:hAnsi="Calibri" w:cs="Calibri"/>
          <w:i/>
          <w:sz w:val="22"/>
          <w:szCs w:val="22"/>
        </w:rPr>
        <w:t xml:space="preserve">o disposto no art. 84, </w:t>
      </w:r>
      <w:r w:rsidRPr="003A7521">
        <w:rPr>
          <w:rFonts w:ascii="Calibri" w:hAnsi="Calibri" w:cs="Calibri"/>
          <w:i/>
          <w:sz w:val="22"/>
          <w:szCs w:val="22"/>
        </w:rPr>
        <w:t>VI</w:t>
      </w:r>
      <w:r w:rsidRPr="003A7521">
        <w:rPr>
          <w:rFonts w:ascii="Calibri" w:hAnsi="Calibri" w:cs="Calibri"/>
          <w:i/>
          <w:iCs/>
          <w:sz w:val="22"/>
          <w:szCs w:val="22"/>
        </w:rPr>
        <w:t>; </w:t>
      </w:r>
      <w:r w:rsidRPr="003A7521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</w:p>
    <w:p w:rsidR="00230290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f) militares das Forças Armadas, seu regime jurídico, provimento de cargos, promoções, estabilidade, remuneração, reforma e transferência para a reserva.</w:t>
      </w:r>
      <w:r w:rsidRPr="003A7521">
        <w:rPr>
          <w:rStyle w:val="apple-converted-space"/>
          <w:rFonts w:ascii="Calibri" w:hAnsi="Calibri" w:cs="Calibri"/>
          <w:i/>
          <w:sz w:val="22"/>
          <w:szCs w:val="22"/>
        </w:rPr>
        <w:t> </w:t>
      </w:r>
      <w:r w:rsidRPr="003A7521">
        <w:rPr>
          <w:rFonts w:ascii="Calibri" w:hAnsi="Calibri" w:cs="Calibri"/>
          <w:i/>
          <w:sz w:val="22"/>
          <w:szCs w:val="22"/>
        </w:rPr>
        <w:t xml:space="preserve"> </w:t>
      </w:r>
    </w:p>
    <w:p w:rsidR="00230290" w:rsidRPr="003A7521" w:rsidP="00230290">
      <w:pPr>
        <w:pStyle w:val="NormalWeb"/>
        <w:spacing w:before="12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230290" w:rsidRPr="003A7521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 seu turno e em atenção ao princípio da simetria, </w:t>
      </w:r>
      <w:r w:rsidRPr="003A7521">
        <w:rPr>
          <w:rFonts w:ascii="Calibri" w:hAnsi="Calibri" w:cs="Calibri"/>
          <w:szCs w:val="24"/>
        </w:rPr>
        <w:t>a Constituição do Estado de São</w:t>
      </w:r>
      <w:r>
        <w:rPr>
          <w:rFonts w:ascii="Calibri" w:hAnsi="Calibri" w:cs="Calibri"/>
          <w:szCs w:val="24"/>
        </w:rPr>
        <w:t xml:space="preserve"> Paulo no artigo 24, § 2º </w:t>
      </w:r>
      <w:r w:rsidRPr="003A7521">
        <w:rPr>
          <w:rFonts w:ascii="Calibri" w:hAnsi="Calibri" w:cs="Calibri"/>
          <w:szCs w:val="24"/>
        </w:rPr>
        <w:t>dispõe:</w:t>
      </w:r>
    </w:p>
    <w:p w:rsidR="00230290" w:rsidRPr="003A7521" w:rsidP="00B73ABA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30290" w:rsidRPr="003A7521" w:rsidP="00B73ABA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230290" w:rsidRPr="003A7521" w:rsidP="00B73ABA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1"/>
      <w:bookmarkEnd w:id="1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2"/>
      <w:bookmarkEnd w:id="2"/>
      <w:r w:rsidRPr="003A7521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3"/>
      <w:bookmarkEnd w:id="3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4" w:name="CESP_ART_024_2_4"/>
      <w:bookmarkEnd w:id="4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230290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230290" w:rsidRPr="0072713C" w:rsidP="00230290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230290" w:rsidRPr="003A7521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230290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3774B8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 xml:space="preserve">Deste modo, a princípio, no que tange à competência a Constituição vigente não contém nenhuma disposição que impeça </w:t>
      </w:r>
      <w:r>
        <w:rPr>
          <w:rFonts w:ascii="Calibri" w:hAnsi="Calibri" w:cs="Calibri"/>
          <w:szCs w:val="24"/>
        </w:rPr>
        <w:t>o Poder Legislativo Valinhense</w:t>
      </w:r>
      <w:r w:rsidRPr="003A7521">
        <w:rPr>
          <w:rFonts w:ascii="Calibri" w:hAnsi="Calibri" w:cs="Calibri"/>
          <w:szCs w:val="24"/>
        </w:rPr>
        <w:t xml:space="preserve"> </w:t>
      </w:r>
      <w:r w:rsidR="00D13192">
        <w:rPr>
          <w:rFonts w:ascii="Calibri" w:hAnsi="Calibri" w:cs="Calibri"/>
          <w:szCs w:val="24"/>
        </w:rPr>
        <w:t xml:space="preserve">a </w:t>
      </w:r>
      <w:r w:rsidR="00AC64F0">
        <w:rPr>
          <w:rFonts w:ascii="Calibri" w:hAnsi="Calibri" w:cs="Calibri"/>
          <w:szCs w:val="24"/>
        </w:rPr>
        <w:t>legislar sobre a matéria</w:t>
      </w:r>
      <w:r>
        <w:rPr>
          <w:rFonts w:ascii="Calibri" w:hAnsi="Calibri" w:cs="Calibri"/>
          <w:bCs/>
          <w:i/>
          <w:szCs w:val="24"/>
        </w:rPr>
        <w:t>.</w:t>
      </w:r>
    </w:p>
    <w:p w:rsidR="00230290" w:rsidRPr="003A7521" w:rsidP="00DF5B72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>Aliás, acerca dos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</w:t>
      </w:r>
      <w:r w:rsidR="00DF5B72">
        <w:rPr>
          <w:rFonts w:asciiTheme="minorHAnsi" w:hAnsiTheme="minorHAnsi" w:cs="Calibri"/>
          <w:u w:val="single"/>
        </w:rPr>
        <w:t>derativa</w:t>
      </w:r>
      <w:r w:rsidRPr="00DF5B72" w:rsidR="00DF5B72">
        <w:rPr>
          <w:rFonts w:asciiTheme="minorHAnsi" w:hAnsiTheme="minorHAnsi" w:cs="Calibri"/>
        </w:rPr>
        <w:t>, t</w:t>
      </w:r>
      <w:r w:rsidRPr="00DF5B72">
        <w:rPr>
          <w:rFonts w:asciiTheme="minorHAnsi" w:hAnsiTheme="minorHAnsi" w:cs="Calibri"/>
        </w:rPr>
        <w:t>rata</w:t>
      </w:r>
      <w:r w:rsidRPr="003A7521">
        <w:rPr>
          <w:rFonts w:asciiTheme="minorHAnsi" w:hAnsiTheme="minorHAnsi" w:cs="Calibri"/>
        </w:rPr>
        <w:t xml:space="preserve">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230290" w:rsidRPr="003A7521" w:rsidP="00B73ABA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230290" w:rsidRPr="003A7521" w:rsidP="00B73ABA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230290" w:rsidP="00230290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</w:t>
      </w:r>
      <w:r w:rsidRPr="003A7521">
        <w:rPr>
          <w:rFonts w:asciiTheme="minorHAnsi" w:hAnsiTheme="minorHAnsi" w:cstheme="minorHAnsi"/>
          <w:color w:val="auto"/>
        </w:rPr>
        <w:t>da Administração Pública; a atribuição de seus órgãos e o regime jurídico de servidores públicos, ainda que as propostas legislativas impliquem em criação de despesas.</w:t>
      </w:r>
    </w:p>
    <w:p w:rsidR="008A2A1B" w:rsidP="008A2A1B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C03091">
        <w:rPr>
          <w:rFonts w:asciiTheme="minorHAnsi" w:hAnsiTheme="minorHAnsi" w:cstheme="minorHAnsi"/>
          <w:color w:val="auto"/>
        </w:rPr>
        <w:t xml:space="preserve">Destarte, </w:t>
      </w:r>
      <w:r w:rsidR="00AC64F0">
        <w:rPr>
          <w:rFonts w:asciiTheme="minorHAnsi" w:hAnsiTheme="minorHAnsi" w:cstheme="minorHAnsi"/>
          <w:color w:val="auto"/>
        </w:rPr>
        <w:t>sob este aspect</w:t>
      </w:r>
      <w:r w:rsidR="006328AF">
        <w:rPr>
          <w:rFonts w:asciiTheme="minorHAnsi" w:hAnsiTheme="minorHAnsi" w:cstheme="minorHAnsi"/>
          <w:color w:val="auto"/>
        </w:rPr>
        <w:t>o en</w:t>
      </w:r>
      <w:r w:rsidR="00AC64F0">
        <w:rPr>
          <w:rFonts w:asciiTheme="minorHAnsi" w:hAnsiTheme="minorHAnsi" w:cstheme="minorHAnsi"/>
          <w:color w:val="auto"/>
        </w:rPr>
        <w:t>foc</w:t>
      </w:r>
      <w:r w:rsidR="006328AF">
        <w:rPr>
          <w:rFonts w:asciiTheme="minorHAnsi" w:hAnsiTheme="minorHAnsi" w:cstheme="minorHAnsi"/>
          <w:color w:val="auto"/>
        </w:rPr>
        <w:t>ado</w:t>
      </w:r>
      <w:r w:rsidR="00AC64F0">
        <w:rPr>
          <w:rFonts w:asciiTheme="minorHAnsi" w:hAnsiTheme="minorHAnsi" w:cstheme="minorHAnsi"/>
          <w:color w:val="auto"/>
        </w:rPr>
        <w:t xml:space="preserve"> </w:t>
      </w:r>
      <w:r w:rsidR="00A075A7">
        <w:rPr>
          <w:rFonts w:asciiTheme="minorHAnsi" w:hAnsiTheme="minorHAnsi" w:cstheme="minorHAnsi"/>
          <w:color w:val="auto"/>
        </w:rPr>
        <w:t>–</w:t>
      </w:r>
      <w:r w:rsidR="00AC64F0">
        <w:rPr>
          <w:rFonts w:asciiTheme="minorHAnsi" w:hAnsiTheme="minorHAnsi" w:cstheme="minorHAnsi"/>
          <w:color w:val="auto"/>
        </w:rPr>
        <w:t xml:space="preserve"> </w:t>
      </w:r>
      <w:r w:rsidRPr="00A075A7" w:rsidR="00A075A7">
        <w:rPr>
          <w:rFonts w:ascii="Calibri" w:hAnsi="Calibri" w:cs="Calibri"/>
          <w:i/>
        </w:rPr>
        <w:t>instituição da Semana Municipal da Atividade Física no Município de Valinhos</w:t>
      </w:r>
      <w:r w:rsidR="00A075A7">
        <w:rPr>
          <w:rFonts w:ascii="Calibri" w:hAnsi="Calibri" w:cs="Calibri"/>
          <w:i/>
        </w:rPr>
        <w:t xml:space="preserve"> </w:t>
      </w:r>
      <w:r w:rsidR="00AC64F0">
        <w:rPr>
          <w:rFonts w:asciiTheme="minorHAnsi" w:hAnsiTheme="minorHAnsi" w:cstheme="minorHAnsi"/>
          <w:color w:val="auto"/>
        </w:rPr>
        <w:t xml:space="preserve">- </w:t>
      </w:r>
      <w:r>
        <w:rPr>
          <w:rFonts w:asciiTheme="minorHAnsi" w:hAnsiTheme="minorHAnsi" w:cstheme="minorHAnsi"/>
          <w:color w:val="auto"/>
        </w:rPr>
        <w:t>infere-se que o projeto em análise não viola as regras de iniciativa, porquanto não se trata de matéria de competência privativa do Chefe do Poder Executivo.</w:t>
      </w:r>
    </w:p>
    <w:p w:rsidR="00230290" w:rsidRPr="003A7521" w:rsidP="00230290">
      <w:pPr>
        <w:spacing w:before="240" w:after="240"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3A7521">
        <w:rPr>
          <w:rFonts w:ascii="Calibri" w:hAnsi="Calibri" w:cs="Calibri"/>
          <w:bCs/>
          <w:szCs w:val="24"/>
        </w:rPr>
        <w:t xml:space="preserve">Nesse mesmo sentido o entendimento do </w:t>
      </w:r>
      <w:r>
        <w:rPr>
          <w:rFonts w:ascii="Calibri" w:hAnsi="Calibri" w:cs="Calibri"/>
          <w:bCs/>
          <w:szCs w:val="24"/>
        </w:rPr>
        <w:t xml:space="preserve">E. </w:t>
      </w:r>
      <w:r w:rsidRPr="003A7521">
        <w:rPr>
          <w:rFonts w:ascii="Calibri" w:hAnsi="Calibri" w:cs="Calibri"/>
          <w:bCs/>
          <w:szCs w:val="24"/>
        </w:rPr>
        <w:t>Tribunal de Justiça de São Paulo:</w:t>
      </w:r>
    </w:p>
    <w:p w:rsidR="000E3CF3" w:rsidRPr="000E3CF3" w:rsidP="00872D85">
      <w:pPr>
        <w:pStyle w:val="Default"/>
        <w:pBdr>
          <w:bottom w:val="single" w:sz="12" w:space="1" w:color="auto"/>
        </w:pBdr>
        <w:spacing w:after="240" w:line="276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AÇÃO DIRETA DE INCONSTITUCIONALIDADE – Lei nº 5.507, de 15 de agosto de 2019, do Município de Mauá, que </w:t>
      </w:r>
      <w:r w:rsidRPr="000E3CF3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"institui a 'Semana Municipal de Conscientização e Prevenção à Anorexia Nervosa e Bulimia Nervosa', a qual passará a integrar o Calendário Oficial de Eventos do Município de Mauá, e dá outras providências" – </w:t>
      </w:r>
      <w:r w:rsidRPr="000E3CF3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– Ausência de inconstitucionalidade. 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0E3CF3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Ação julgada improcedente. 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(TJSP;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 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Direta de Inconstitucionalidade 2103255-42.2020.8.26.0000; Relator (a): João Carlos 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Saletti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0E3CF3" w:rsidRPr="000E3CF3" w:rsidP="000E3CF3">
      <w:pPr>
        <w:pStyle w:val="Default"/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0E3CF3" w:rsidRPr="000E3CF3" w:rsidP="00872D85">
      <w:pPr>
        <w:pStyle w:val="Default"/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"AÇÃO DIRETA DE INCONSTITUCIONALIDADE – Lei nº 4.771, de 23-4-2012, do Município de Mauá, que 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'Institui, no calendário oficial de eventos do município, a 'Festa do Pentecostes', que se 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realizará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 a cada dois anos, no mês de maio, e dá outras providências'.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– Usurpação de competência. Inocorrência.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Norma que institui data comemorativa no calendário oficial do município. Inexistência de conflito entre o Poder Legislativo e o Poder Executivo, no âmbito do Município de Mauá. 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Lei que não veicula atos de gestão.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Competência legislativa comum. Tema de Repercussão Geral nº 917.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II – Criação de despesas. Possibilidade. Somente é vedado ao Poder Legislativo iniciar projeto de lei que acarrete aumento de despesa para o Poder Executivo se a legislação tratar de alguma das matérias constantes do art. 61, § 1º, da CF/88. Tema de Repercussão Geral nº 917. III – Criação de despesas. Eventual ausência de receitas acarreta, no máximo, a inexequibilidade da norma no mesmo exercício em que foi promulgada.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IV – Fixação de prazo para que o Poder Executivo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regulamentar lei.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Violação do princípio da separação dos poderes. Direção superior da Administração. Ato da reserva da Administração. Atuação administrativa amparada por critérios de conveniência e oportunidade.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Inconstitucionalidade da expressão 'no prazo de 90 (noventa) dias a contar da data de sua publicação'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prevista no art. 3º da Lei nº 4.771, de 23-4-2012, de Mauá, e incidental da expressão 'no prazo nelas estabelecido, não inferior a trinta nem superior a cento e oitenta dias' constante do inciso III do art. 47 da CE/89. Ação procedente em parte." </w:t>
      </w:r>
    </w:p>
    <w:p w:rsidR="000E3CF3" w:rsidRPr="000E3CF3" w:rsidP="000E3CF3">
      <w:pPr>
        <w:pStyle w:val="Default"/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 2097432-24.2019.8.26.0000; Relator (a): Carlos Bueno; Órgão Julgador: Órgão Especial; Tribunal de Justiça de São Paulo - N/A; Data do Julgamento: 21/08/2019; Data de Registro: 23/08/2019)</w:t>
      </w:r>
    </w:p>
    <w:p w:rsidR="00564577" w:rsidRPr="00D13192" w:rsidP="00B73ABA">
      <w:pPr>
        <w:spacing w:before="240" w:after="240"/>
        <w:ind w:left="2268"/>
        <w:jc w:val="both"/>
        <w:rPr>
          <w:rFonts w:asciiTheme="minorHAnsi" w:hAnsiTheme="minorHAnsi" w:cstheme="minorHAnsi"/>
          <w:i/>
          <w:color w:val="FF0000"/>
          <w:sz w:val="4"/>
          <w:szCs w:val="4"/>
        </w:rPr>
      </w:pPr>
    </w:p>
    <w:p w:rsidR="00230290" w:rsidRPr="00D13192" w:rsidP="00230290">
      <w:pPr>
        <w:spacing w:after="120" w:line="360" w:lineRule="auto"/>
        <w:ind w:left="2268" w:firstLine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A53F3E" w:rsidRPr="00700B2A" w:rsidP="00C56C9E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3D7230">
        <w:rPr>
          <w:rFonts w:ascii="Calibri" w:hAnsi="Calibri" w:cs="Calibri"/>
        </w:rPr>
        <w:t>Todavia,</w:t>
      </w:r>
      <w:r w:rsidRPr="003D7230">
        <w:rPr>
          <w:rFonts w:ascii="Calibri" w:hAnsi="Calibri" w:cs="Calibri"/>
          <w:b/>
        </w:rPr>
        <w:t xml:space="preserve"> </w:t>
      </w:r>
      <w:r w:rsidR="00AC64F0">
        <w:rPr>
          <w:rFonts w:ascii="Calibri" w:hAnsi="Calibri" w:cs="Calibri"/>
          <w:i/>
        </w:rPr>
        <w:t xml:space="preserve">data máxima vênia, </w:t>
      </w:r>
      <w:r w:rsidRPr="003D7230">
        <w:rPr>
          <w:rFonts w:ascii="Calibri" w:hAnsi="Calibri" w:cs="Calibri"/>
          <w:b/>
        </w:rPr>
        <w:t xml:space="preserve">sugerimos a supressão </w:t>
      </w:r>
      <w:r w:rsidR="00AC64F0">
        <w:rPr>
          <w:rFonts w:ascii="Calibri" w:hAnsi="Calibri" w:cs="Calibri"/>
          <w:b/>
        </w:rPr>
        <w:t xml:space="preserve">do </w:t>
      </w:r>
      <w:r w:rsidRPr="003D7230">
        <w:rPr>
          <w:rFonts w:ascii="Calibri" w:hAnsi="Calibri" w:cs="Calibri"/>
          <w:b/>
        </w:rPr>
        <w:t xml:space="preserve">art. </w:t>
      </w:r>
      <w:r w:rsidR="00A075A7">
        <w:rPr>
          <w:rFonts w:ascii="Calibri" w:hAnsi="Calibri" w:cs="Calibri"/>
          <w:b/>
        </w:rPr>
        <w:t>3</w:t>
      </w:r>
      <w:r w:rsidRPr="003D7230">
        <w:rPr>
          <w:rFonts w:ascii="Calibri" w:hAnsi="Calibri" w:cs="Calibri"/>
          <w:b/>
        </w:rPr>
        <w:t>º do projeto</w:t>
      </w:r>
      <w:r w:rsidR="00D71FE6">
        <w:rPr>
          <w:rFonts w:ascii="Calibri" w:hAnsi="Calibri" w:cs="Calibri"/>
        </w:rPr>
        <w:t xml:space="preserve">, porquanto </w:t>
      </w:r>
      <w:r w:rsidRPr="006328AF" w:rsidR="00D71FE6">
        <w:rPr>
          <w:rFonts w:ascii="Calibri" w:hAnsi="Calibri" w:cs="Calibri"/>
          <w:u w:val="single"/>
        </w:rPr>
        <w:t>ao dispor sobre parcerias com a iniciativa privada</w:t>
      </w:r>
      <w:r w:rsidR="00D71FE6">
        <w:rPr>
          <w:rFonts w:ascii="Calibri" w:hAnsi="Calibri" w:cs="Calibri"/>
        </w:rPr>
        <w:t xml:space="preserve"> </w:t>
      </w:r>
      <w:r w:rsidR="00A075A7">
        <w:rPr>
          <w:rFonts w:ascii="Calibri" w:hAnsi="Calibri" w:cs="Calibri"/>
        </w:rPr>
        <w:t xml:space="preserve">para a organização da “Semana Municipal da Atividade Física”, </w:t>
      </w:r>
      <w:r w:rsidRPr="003D7230">
        <w:rPr>
          <w:rFonts w:asciiTheme="minorHAnsi" w:hAnsiTheme="minorHAnsi" w:cstheme="minorHAnsi"/>
          <w:color w:val="000000"/>
          <w:szCs w:val="24"/>
          <w:shd w:val="clear" w:color="auto" w:fill="FFFFFF"/>
        </w:rPr>
        <w:t>afronta o</w:t>
      </w:r>
      <w:r w:rsidR="00D71FE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princípio da separação dos poderes e da reserva de administração, dispostos nos</w:t>
      </w:r>
      <w:r w:rsidRPr="003D723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artigos 5º, 47,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incisos </w:t>
      </w:r>
      <w:r w:rsidRPr="000126CD">
        <w:rPr>
          <w:rFonts w:asciiTheme="minorHAnsi" w:hAnsiTheme="minorHAnsi" w:cstheme="minorHAnsi"/>
        </w:rPr>
        <w:t>II e XIV, da Constituição Estadual</w:t>
      </w:r>
      <w:r w:rsidRPr="00B5380D">
        <w:rPr>
          <w:rFonts w:asciiTheme="minorHAnsi" w:hAnsiTheme="minorHAnsi" w:cstheme="minorHAnsi"/>
        </w:rPr>
        <w:t>, que constituem dispositivos de observância obrigatória aos Municípios</w:t>
      </w:r>
      <w:r>
        <w:rPr>
          <w:rFonts w:asciiTheme="minorHAnsi" w:hAnsiTheme="minorHAnsi" w:cstheme="minorHAnsi"/>
        </w:rPr>
        <w:t xml:space="preserve">, </w:t>
      </w:r>
      <w:r w:rsidRPr="00B5380D">
        <w:rPr>
          <w:rFonts w:asciiTheme="minorHAnsi" w:hAnsiTheme="minorHAnsi" w:cstheme="minorHAnsi"/>
        </w:rPr>
        <w:t xml:space="preserve">in </w:t>
      </w:r>
      <w:r w:rsidRPr="00B5380D">
        <w:rPr>
          <w:rFonts w:asciiTheme="minorHAnsi" w:hAnsiTheme="minorHAnsi" w:cstheme="minorHAnsi"/>
          <w:i/>
          <w:iCs/>
        </w:rPr>
        <w:t>verbis:</w:t>
      </w:r>
    </w:p>
    <w:p w:rsidR="00A53F3E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“Art. 5º - São Poderes do Estado, independentes e harmônicos entre si, o Legislativo, o Executivo e o Judiciário.”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“Art. 47 - Compete privativamente ao Governador, além de outras atribuições previstas nesta Constituição: 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 [...]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II - exercer, com o auxílio dos Secretários de Estado, a direção superior da administração estadual;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[...]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XIV - praticar os demais atos de administração, nos limites da competência do Executivo;”</w:t>
      </w: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;</w:t>
      </w:r>
    </w:p>
    <w:p w:rsidR="00A53F3E" w:rsidRPr="00B5380D" w:rsidP="00A53F3E">
      <w:pPr>
        <w:autoSpaceDE w:val="0"/>
        <w:autoSpaceDN w:val="0"/>
        <w:adjustRightInd w:val="0"/>
        <w:spacing w:after="80"/>
        <w:ind w:left="2835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A53F3E" w:rsidRPr="00B5380D" w:rsidP="00A53F3E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5380D">
        <w:rPr>
          <w:rFonts w:asciiTheme="minorHAnsi" w:hAnsiTheme="minorHAnsi" w:cstheme="minorHAnsi"/>
          <w:szCs w:val="24"/>
        </w:rPr>
        <w:t>Nessa senda segue entendimento doutrinário</w:t>
      </w:r>
      <w:r>
        <w:rPr>
          <w:rFonts w:asciiTheme="minorHAnsi" w:hAnsiTheme="minorHAnsi" w:cstheme="minorHAnsi"/>
          <w:szCs w:val="24"/>
          <w:vertAlign w:val="superscript"/>
        </w:rPr>
        <w:footnoteReference w:id="2"/>
      </w:r>
      <w:r w:rsidRPr="00B5380D">
        <w:rPr>
          <w:rFonts w:asciiTheme="minorHAnsi" w:hAnsiTheme="minorHAnsi" w:cstheme="minorHAnsi"/>
          <w:szCs w:val="24"/>
        </w:rPr>
        <w:t>: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5380D">
        <w:rPr>
          <w:rFonts w:asciiTheme="minorHAnsi" w:hAnsiTheme="minorHAnsi" w:cstheme="minorHAnsi"/>
          <w:b/>
          <w:i/>
          <w:sz w:val="22"/>
          <w:szCs w:val="22"/>
        </w:rPr>
        <w:t>A liberdade de conformação do legislador encontra limites no texto constitucional</w:t>
      </w:r>
      <w:r w:rsidRPr="00B5380D">
        <w:rPr>
          <w:rFonts w:asciiTheme="minorHAnsi" w:hAnsiTheme="minorHAnsi" w:cstheme="minorHAnsi"/>
          <w:i/>
          <w:sz w:val="22"/>
          <w:szCs w:val="22"/>
        </w:rPr>
        <w:t>. Entre esses limites, costuma-se apontar, no Direito Comparado, a existência da denominada “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 xml:space="preserve">reserva de administração” como um verdadeiro “núcleo funcional da administração ‘resistente’ à lei”. Daí a Constituição, em situações específicas, determinar que o tratamento de determinadas matérias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fica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 xml:space="preserve"> adstrito ao âmbito exclusivo da Administração Pública, não sendo lícita a ingerência do parlamento.</w:t>
      </w:r>
      <w:r w:rsidRPr="00B5380D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A reserva de administração pode ser dividida em duas </w:t>
      </w:r>
      <w:r w:rsidRPr="00B5380D">
        <w:rPr>
          <w:rFonts w:asciiTheme="minorHAnsi" w:hAnsiTheme="minorHAnsi" w:cstheme="minorHAnsi"/>
          <w:i/>
          <w:sz w:val="22"/>
          <w:szCs w:val="22"/>
        </w:rPr>
        <w:t>categorias:</w:t>
      </w:r>
      <w:r w:rsidRPr="00B5380D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a) reserva geral de administração: fundamenta-se no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princípio da separação de poderes</w:t>
      </w:r>
      <w:r w:rsidRPr="00B5380D">
        <w:rPr>
          <w:rFonts w:asciiTheme="minorHAnsi" w:hAnsiTheme="minorHAnsi" w:cstheme="minorHAnsi"/>
          <w:i/>
          <w:sz w:val="22"/>
          <w:szCs w:val="22"/>
        </w:rPr>
        <w:t xml:space="preserve"> e significa que a atuação de cada órgão estatal não pode invadir ou cercear o “núcleo essencial” da </w:t>
      </w:r>
      <w:r w:rsidRPr="00B5380D">
        <w:rPr>
          <w:rFonts w:asciiTheme="minorHAnsi" w:hAnsiTheme="minorHAnsi" w:cstheme="minorHAnsi"/>
          <w:i/>
          <w:sz w:val="22"/>
          <w:szCs w:val="22"/>
        </w:rPr>
        <w:t>competência dos outros órgãos, cabendo exclusivamente à Administração executar as leis, especialmente no exercício da discricionariedade administrativa; e</w:t>
      </w:r>
      <w:r w:rsidRPr="00B5380D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b) reserva específica de administração: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 xml:space="preserve">quando a Constituição destaca determinadas matérias, submetendo-as à competência exclusiva do Poder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Executivo.</w:t>
      </w:r>
      <w:r w:rsidRPr="00B5380D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A53F3E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No Brasil, o Supremo Tribunal Federal já reconheceu a existência de um verdadeiro princípio constitucional da reserva de administração, com fulcro no princípio da separação de poderes,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cujo conteúdo impediria “a ingerência normativa do Poder Legislativo em matérias sujeitas à exclusiva competência administrativa do Poder Executivo”.</w:t>
      </w:r>
      <w:r w:rsidRPr="00B5380D">
        <w:rPr>
          <w:rFonts w:asciiTheme="minorHAnsi" w:hAnsiTheme="minorHAnsi" w:cstheme="minorHAnsi"/>
          <w:i/>
          <w:sz w:val="22"/>
          <w:szCs w:val="22"/>
        </w:rPr>
        <w:t xml:space="preserve"> No caso levado ao conhecimento e julgamento da Suprema Corte, entendeu-se pela inconstitucionalidade da declaração pelo Legislativo da nulidade de concurso público realizado pelo Executivo por suposta violação às normas legais, pois uma declaração dessa natureza revelaria o exercício de autotutela que só poderia ser exercida com exclusividade por quem realizou o certame (Enunciado 473 da súmula predominante do STF).” </w:t>
      </w:r>
      <w:r w:rsidRPr="00B5380D">
        <w:rPr>
          <w:rFonts w:asciiTheme="minorHAnsi" w:hAnsiTheme="minorHAnsi" w:cstheme="minorHAnsi"/>
          <w:i/>
          <w:sz w:val="22"/>
          <w:szCs w:val="22"/>
        </w:rPr>
        <w:t>(OLIVEIRA, Rezende, R. C.</w:t>
      </w:r>
      <w:r w:rsidRPr="00B5380D">
        <w:rPr>
          <w:rFonts w:asciiTheme="minorHAnsi" w:hAnsiTheme="minorHAnsi" w:cstheme="minorHAnsi"/>
          <w:i/>
          <w:sz w:val="22"/>
          <w:szCs w:val="22"/>
        </w:rPr>
        <w:t xml:space="preserve"> Curso de Direito Administrativo, 6ª edição, p. 267. Grifo nosso.</w:t>
      </w:r>
    </w:p>
    <w:p w:rsidR="00A53F3E" w:rsidRPr="008A2A1B" w:rsidP="00A53F3E">
      <w:pPr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91612B" w:rsidP="00A53F3E">
      <w:pPr>
        <w:spacing w:after="120" w:line="360" w:lineRule="auto"/>
        <w:ind w:firstLine="170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No mesmo</w:t>
      </w:r>
      <w:r w:rsidR="00700B2A">
        <w:rPr>
          <w:rFonts w:asciiTheme="minorHAnsi" w:hAnsiTheme="minorHAnsi" w:cstheme="minorHAnsi"/>
          <w:szCs w:val="24"/>
        </w:rPr>
        <w:t xml:space="preserve"> diapasão</w:t>
      </w:r>
      <w:r w:rsidRPr="00B5380D" w:rsidR="00A53F3E">
        <w:rPr>
          <w:rFonts w:asciiTheme="minorHAnsi" w:hAnsiTheme="minorHAnsi" w:cstheme="minorHAnsi"/>
          <w:szCs w:val="24"/>
        </w:rPr>
        <w:t xml:space="preserve">, </w:t>
      </w:r>
      <w:r w:rsidR="008A2A1B">
        <w:rPr>
          <w:rFonts w:asciiTheme="minorHAnsi" w:hAnsiTheme="minorHAnsi" w:cstheme="minorHAnsi"/>
          <w:szCs w:val="24"/>
        </w:rPr>
        <w:t>colacionamos decisões</w:t>
      </w:r>
      <w:r w:rsidR="00A53F3E">
        <w:rPr>
          <w:rFonts w:asciiTheme="minorHAnsi" w:hAnsiTheme="minorHAnsi" w:cstheme="minorHAnsi"/>
          <w:szCs w:val="24"/>
        </w:rPr>
        <w:t xml:space="preserve"> </w:t>
      </w:r>
      <w:r w:rsidRPr="00B5380D" w:rsidR="00A53F3E">
        <w:rPr>
          <w:rFonts w:asciiTheme="minorHAnsi" w:hAnsiTheme="minorHAnsi" w:cstheme="minorHAnsi"/>
          <w:szCs w:val="24"/>
        </w:rPr>
        <w:t xml:space="preserve">do E. Tribunal de </w:t>
      </w:r>
      <w:r w:rsidR="00A53F3E">
        <w:rPr>
          <w:rFonts w:asciiTheme="minorHAnsi" w:hAnsiTheme="minorHAnsi" w:cstheme="minorHAnsi"/>
          <w:szCs w:val="24"/>
        </w:rPr>
        <w:t>Justiça do Estado de São Paulo</w:t>
      </w:r>
      <w:r w:rsidR="003D7230">
        <w:rPr>
          <w:rFonts w:ascii="Calibri" w:hAnsi="Calibri" w:cs="Calibri"/>
        </w:rPr>
        <w:t>:</w:t>
      </w:r>
    </w:p>
    <w:p w:rsidR="00A53F3E" w:rsidP="00700B2A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inconstitucionalidade. Lei n. 12.057/19, do Município de Sorocaba,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de iniciativa parlamentar, que cria campanha local de enfrentamento ao assédio e violência sexual.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Imposição, porém, para a campanha, </w:t>
      </w:r>
      <w:r w:rsidRPr="00D1319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de providências como o treinamento de servidores, divulgação em espaços públicos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contas de serviço e cartazes em ônibus, </w:t>
      </w:r>
      <w:r w:rsidRPr="00D13192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além de impor parcerias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 Ausência de vício de iniciativa no estabelecimento em si do que é real política pública, mas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afronta à reserva da administração quando se estabelecem as ações de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implementação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da campanha. Artigos 4º, 5º e 6º da Lei n. 12.057/19 considerados inconstitucionais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 Ação julgada parcialmente procedente. (TJSP;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Direta de Inconstitucionalidade 2083729-89.2020.8.26.0000; Relator (a): Claudio Godoy; Órgão Julgador: Órgão Especial; Tribunal de Justiça de São Paulo - N/A; Data do Julgamento: 14/07/2021; Data de Registro: 15/07/2021)</w:t>
      </w:r>
    </w:p>
    <w:p w:rsidR="00AC64F0" w:rsidP="00700B2A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AC64F0" w:rsidP="00AC64F0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"institui no calendário oficial do município a celebração da campanha 'Julho Verde'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 dá outras providências" –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F2CC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Lei que, ao instituir aludida data comemorativa, não trata de nenhuma das matérias de iniciativa legislativa exclusiva do Chefe do Poder Executivo, não viola o princípio da separação de poderes (ao instituir a data comemorativa),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mas invade a esfera da gestão administrativa, ao impor atribuições ao Poder Executivo,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em seu art. 2º, incisos I e II – Artigo 2º, incisos I e II da Lei 10.291/2020 que impõe ao Poder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Executivo a realização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diagnósticos e identificar dentre os alunos possíveis casos clínicos" –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Dispositivos que criam e disciplinam obrigações e tarefas para os órgãos do Poder Executivo, atos típicos de gestão administrativa, destinados à sua organização e funcionamento – Ofensa aos princípios da separação de poderes, de iniciativa e da reserva de administração (arts. 5º, caput, §§ 1º e 2º; 24, § 2º, "2"; 47, II, XI, XIV e XIX, "a", da Constituição do Estado, aplicáveis aos Municípios por força do art. 144 da mesma Carta) – Inconstitucionalidade configurada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implementação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Ação julgada parcialmente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procedente.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(TJSP;  Direta de Inconstitucionalidade 2216625-96.2020.8.26.0000; Relator (a): João Carlos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Saletti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AC64F0" w:rsidP="00700B2A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230290" w:rsidRPr="003A7521" w:rsidP="00230290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3A7521">
        <w:rPr>
          <w:rFonts w:ascii="Calibri" w:hAnsi="Calibri" w:cs="Calibr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230290" w:rsidRPr="003A7521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3A7521">
        <w:rPr>
          <w:rFonts w:ascii="Calibri" w:eastAsia="Calibri" w:hAnsi="Calibri" w:cs="Calibri"/>
          <w:szCs w:val="24"/>
        </w:rPr>
        <w:t xml:space="preserve">Ante todo o exposto, </w:t>
      </w:r>
      <w:r w:rsidR="00A53F3E">
        <w:rPr>
          <w:rFonts w:ascii="Calibri" w:eastAsia="Calibri" w:hAnsi="Calibri" w:cs="Calibri"/>
          <w:szCs w:val="24"/>
        </w:rPr>
        <w:t>opinamos pela</w:t>
      </w:r>
      <w:r w:rsidRPr="003A7521">
        <w:rPr>
          <w:rFonts w:ascii="Calibri" w:eastAsia="Calibri" w:hAnsi="Calibri" w:cs="Calibri"/>
          <w:szCs w:val="24"/>
        </w:rPr>
        <w:t xml:space="preserve"> constitucionalidade e legalidade</w:t>
      </w:r>
      <w:r w:rsidR="008A2A1B">
        <w:rPr>
          <w:rFonts w:ascii="Calibri" w:eastAsia="Calibri" w:hAnsi="Calibri" w:cs="Calibri"/>
          <w:szCs w:val="24"/>
        </w:rPr>
        <w:t xml:space="preserve"> do projeto</w:t>
      </w:r>
      <w:r>
        <w:rPr>
          <w:rFonts w:ascii="Calibri" w:eastAsia="Calibri" w:hAnsi="Calibri" w:cs="Calibri"/>
          <w:szCs w:val="24"/>
        </w:rPr>
        <w:t xml:space="preserve">, </w:t>
      </w:r>
      <w:r w:rsidR="008A2A1B">
        <w:rPr>
          <w:rFonts w:ascii="Calibri" w:eastAsia="Calibri" w:hAnsi="Calibri" w:cs="Calibri"/>
          <w:szCs w:val="24"/>
          <w:u w:val="single"/>
        </w:rPr>
        <w:t xml:space="preserve">com exceção do </w:t>
      </w:r>
      <w:r w:rsidRPr="003D7230">
        <w:rPr>
          <w:rFonts w:ascii="Calibri" w:eastAsia="Calibri" w:hAnsi="Calibri" w:cs="Calibri"/>
          <w:szCs w:val="24"/>
          <w:u w:val="single"/>
        </w:rPr>
        <w:t xml:space="preserve">art. </w:t>
      </w:r>
      <w:r w:rsidR="00230A97">
        <w:rPr>
          <w:rFonts w:ascii="Calibri" w:eastAsia="Calibri" w:hAnsi="Calibri" w:cs="Calibri"/>
          <w:szCs w:val="24"/>
          <w:u w:val="single"/>
        </w:rPr>
        <w:t>3</w:t>
      </w:r>
      <w:r w:rsidRPr="003D7230" w:rsidR="006930B5">
        <w:rPr>
          <w:rFonts w:ascii="Calibri" w:eastAsia="Calibri" w:hAnsi="Calibri" w:cs="Calibri"/>
          <w:szCs w:val="24"/>
          <w:u w:val="single"/>
        </w:rPr>
        <w:t>º</w:t>
      </w:r>
      <w:r w:rsidR="007F2CCB">
        <w:rPr>
          <w:rFonts w:ascii="Calibri" w:eastAsia="Calibri" w:hAnsi="Calibri" w:cs="Calibri"/>
          <w:szCs w:val="24"/>
          <w:u w:val="single"/>
        </w:rPr>
        <w:t>, com fulcro nos precedentes</w:t>
      </w:r>
      <w:r w:rsidRPr="003D7230" w:rsidR="003D7230">
        <w:rPr>
          <w:rFonts w:ascii="Calibri" w:eastAsia="Calibri" w:hAnsi="Calibri" w:cs="Calibri"/>
          <w:szCs w:val="24"/>
          <w:u w:val="single"/>
        </w:rPr>
        <w:t xml:space="preserve"> da Corte Paulista</w:t>
      </w:r>
      <w:r w:rsidRPr="003D7230">
        <w:rPr>
          <w:rFonts w:ascii="Calibri" w:eastAsia="Calibri" w:hAnsi="Calibri" w:cs="Calibri"/>
          <w:szCs w:val="24"/>
          <w:u w:val="single"/>
        </w:rPr>
        <w:t>.</w:t>
      </w:r>
      <w:r w:rsidRPr="003D7230" w:rsidR="006930B5">
        <w:rPr>
          <w:rFonts w:ascii="Calibri" w:eastAsia="Calibri" w:hAnsi="Calibri" w:cs="Calibri"/>
          <w:szCs w:val="24"/>
          <w:u w:val="single"/>
        </w:rPr>
        <w:t xml:space="preserve"> </w:t>
      </w:r>
      <w:r w:rsidRPr="003A7521">
        <w:rPr>
          <w:rFonts w:ascii="Calibri" w:eastAsia="Calibri" w:hAnsi="Calibri" w:cs="Calibri"/>
          <w:szCs w:val="24"/>
        </w:rPr>
        <w:t>Sobre o mérito, manifestar-se-á o soberano Plenário.</w:t>
      </w:r>
    </w:p>
    <w:p w:rsidR="00230290" w:rsidRPr="003A7521" w:rsidP="00230290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230290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BA19D8">
        <w:rPr>
          <w:rFonts w:ascii="Calibri" w:hAnsi="Calibri" w:cs="Calibri"/>
          <w:szCs w:val="24"/>
        </w:rPr>
        <w:t>Procuradoria,</w:t>
      </w:r>
      <w:r w:rsidRPr="00BA19D8" w:rsidR="00395D8C">
        <w:rPr>
          <w:rFonts w:ascii="Calibri" w:hAnsi="Calibri" w:cs="Calibri"/>
          <w:szCs w:val="24"/>
        </w:rPr>
        <w:t xml:space="preserve"> </w:t>
      </w:r>
      <w:r w:rsidR="00230A97">
        <w:rPr>
          <w:rFonts w:ascii="Calibri" w:hAnsi="Calibri" w:cs="Calibri"/>
          <w:szCs w:val="24"/>
        </w:rPr>
        <w:t>27 de outubro</w:t>
      </w:r>
      <w:r w:rsidRPr="00BA19D8">
        <w:rPr>
          <w:rFonts w:ascii="Calibri" w:hAnsi="Calibri" w:cs="Calibri"/>
          <w:szCs w:val="24"/>
        </w:rPr>
        <w:t xml:space="preserve"> 202</w:t>
      </w:r>
      <w:r w:rsidRPr="00BA19D8" w:rsidR="006930B5">
        <w:rPr>
          <w:rFonts w:ascii="Calibri" w:hAnsi="Calibri" w:cs="Calibri"/>
          <w:szCs w:val="24"/>
        </w:rPr>
        <w:t>2</w:t>
      </w:r>
      <w:r w:rsidRPr="00BA19D8">
        <w:rPr>
          <w:rFonts w:ascii="Calibri" w:hAnsi="Calibri" w:cs="Calibri"/>
          <w:szCs w:val="24"/>
        </w:rPr>
        <w:t>.</w:t>
      </w:r>
    </w:p>
    <w:p w:rsidR="003D7230" w:rsidRPr="003A7521" w:rsidP="00230290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230290" w:rsidRPr="003A7521" w:rsidP="00230290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252ADC" w:rsidP="005645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930B5">
        <w:rPr>
          <w:rFonts w:ascii="Calibri" w:hAnsi="Calibri" w:cs="Calibri"/>
          <w:b/>
          <w:szCs w:val="24"/>
        </w:rPr>
        <w:t>a - OAB/SP 308.298</w:t>
      </w:r>
    </w:p>
    <w:p w:rsidR="00A53F3E" w:rsidRPr="00A53F3E" w:rsidP="00564577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sectPr w:rsidSect="00564577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075A7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075A7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075A7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075A7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075A7" w:rsidP="000F6284">
            <w:pPr>
              <w:pStyle w:val="Footer"/>
              <w:ind w:left="-1985" w:right="-313"/>
              <w:jc w:val="center"/>
            </w:pPr>
          </w:p>
          <w:p w:rsidR="00A075A7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76E41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76E41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075A7">
      <w:pPr>
        <w:spacing w:after="0" w:line="240" w:lineRule="auto"/>
      </w:pPr>
      <w:r>
        <w:separator/>
      </w:r>
    </w:p>
  </w:footnote>
  <w:footnote w:type="continuationSeparator" w:id="1">
    <w:p w:rsidR="00A075A7">
      <w:pPr>
        <w:spacing w:after="0" w:line="240" w:lineRule="auto"/>
      </w:pPr>
      <w:r>
        <w:continuationSeparator/>
      </w:r>
    </w:p>
  </w:footnote>
  <w:footnote w:id="2">
    <w:p w:rsidR="00A075A7" w:rsidP="00A53F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992">
        <w:t xml:space="preserve">Disponível em: </w:t>
      </w:r>
      <w:hyperlink r:id="rId1" w:history="1">
        <w:r w:rsidRPr="00256992">
          <w:rPr>
            <w:rStyle w:val="Hyperlink"/>
          </w:rPr>
          <w:t>https://www.emagis.com.br/area-gratuita/que-negocio-e-esse/reserva-geral-de-administracao-versus-reserva-especifica-de-administracao/</w:t>
        </w:r>
      </w:hyperlink>
      <w:r>
        <w:t>. Acesso em: 09/12</w:t>
      </w:r>
      <w:r w:rsidRPr="00256992">
        <w:t>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5A7" w:rsidP="000F6284">
    <w:pPr>
      <w:pStyle w:val="Header"/>
      <w:jc w:val="center"/>
      <w:rPr>
        <w:b/>
        <w:sz w:val="26"/>
        <w:lang w:val="pt-PT"/>
      </w:rPr>
    </w:pPr>
  </w:p>
  <w:p w:rsidR="00A075A7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A7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9577204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00702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839109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13192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69731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905688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075A7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075A7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26CD"/>
    <w:rsid w:val="00013CAF"/>
    <w:rsid w:val="00031E27"/>
    <w:rsid w:val="00060CA0"/>
    <w:rsid w:val="000724D1"/>
    <w:rsid w:val="00072745"/>
    <w:rsid w:val="00083EDA"/>
    <w:rsid w:val="00087763"/>
    <w:rsid w:val="00094FC8"/>
    <w:rsid w:val="000A7037"/>
    <w:rsid w:val="000B4ADE"/>
    <w:rsid w:val="000C08B8"/>
    <w:rsid w:val="000C1D38"/>
    <w:rsid w:val="000C3EF3"/>
    <w:rsid w:val="000C474F"/>
    <w:rsid w:val="000C5FC0"/>
    <w:rsid w:val="000E086D"/>
    <w:rsid w:val="000E3CF3"/>
    <w:rsid w:val="000F6284"/>
    <w:rsid w:val="00117687"/>
    <w:rsid w:val="0013060F"/>
    <w:rsid w:val="00132824"/>
    <w:rsid w:val="00141BA0"/>
    <w:rsid w:val="001420FA"/>
    <w:rsid w:val="0014270F"/>
    <w:rsid w:val="00146CE5"/>
    <w:rsid w:val="00152692"/>
    <w:rsid w:val="00174657"/>
    <w:rsid w:val="001A38D5"/>
    <w:rsid w:val="001C4D63"/>
    <w:rsid w:val="0022477A"/>
    <w:rsid w:val="002268B5"/>
    <w:rsid w:val="00230290"/>
    <w:rsid w:val="00230A97"/>
    <w:rsid w:val="002324DA"/>
    <w:rsid w:val="002433C5"/>
    <w:rsid w:val="00252ADC"/>
    <w:rsid w:val="00256992"/>
    <w:rsid w:val="00261689"/>
    <w:rsid w:val="0026654A"/>
    <w:rsid w:val="00267382"/>
    <w:rsid w:val="00282C13"/>
    <w:rsid w:val="00287DF9"/>
    <w:rsid w:val="0029011B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5DC3"/>
    <w:rsid w:val="00324DAA"/>
    <w:rsid w:val="0036016D"/>
    <w:rsid w:val="00365F07"/>
    <w:rsid w:val="003774B8"/>
    <w:rsid w:val="0038135B"/>
    <w:rsid w:val="0039289D"/>
    <w:rsid w:val="00395D8C"/>
    <w:rsid w:val="003A2C23"/>
    <w:rsid w:val="003A7521"/>
    <w:rsid w:val="003B02E8"/>
    <w:rsid w:val="003B0AE0"/>
    <w:rsid w:val="003B11BD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12E7C"/>
    <w:rsid w:val="00415659"/>
    <w:rsid w:val="00421304"/>
    <w:rsid w:val="0042268E"/>
    <w:rsid w:val="004411BA"/>
    <w:rsid w:val="00442AE0"/>
    <w:rsid w:val="00445AFC"/>
    <w:rsid w:val="00450D7D"/>
    <w:rsid w:val="00483A4D"/>
    <w:rsid w:val="00484EF7"/>
    <w:rsid w:val="00494E9F"/>
    <w:rsid w:val="00497A57"/>
    <w:rsid w:val="004A1DBC"/>
    <w:rsid w:val="004A3EDF"/>
    <w:rsid w:val="004B170A"/>
    <w:rsid w:val="004B1CA3"/>
    <w:rsid w:val="004D3AA4"/>
    <w:rsid w:val="004F1E85"/>
    <w:rsid w:val="004F2F14"/>
    <w:rsid w:val="00515A76"/>
    <w:rsid w:val="00516A25"/>
    <w:rsid w:val="00521E8D"/>
    <w:rsid w:val="00526E32"/>
    <w:rsid w:val="00526FB6"/>
    <w:rsid w:val="00541851"/>
    <w:rsid w:val="00546E3D"/>
    <w:rsid w:val="00564577"/>
    <w:rsid w:val="0058201A"/>
    <w:rsid w:val="005B347A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28AF"/>
    <w:rsid w:val="00633897"/>
    <w:rsid w:val="00636BBC"/>
    <w:rsid w:val="00672474"/>
    <w:rsid w:val="00683121"/>
    <w:rsid w:val="00684901"/>
    <w:rsid w:val="006930B5"/>
    <w:rsid w:val="00696105"/>
    <w:rsid w:val="006B19C9"/>
    <w:rsid w:val="006B7254"/>
    <w:rsid w:val="006C1ABF"/>
    <w:rsid w:val="006C37F5"/>
    <w:rsid w:val="006D7024"/>
    <w:rsid w:val="006E59A6"/>
    <w:rsid w:val="006F29C6"/>
    <w:rsid w:val="006F674F"/>
    <w:rsid w:val="00700B2A"/>
    <w:rsid w:val="007042A1"/>
    <w:rsid w:val="007125D7"/>
    <w:rsid w:val="0072713C"/>
    <w:rsid w:val="00743FE1"/>
    <w:rsid w:val="00745F2C"/>
    <w:rsid w:val="00747C65"/>
    <w:rsid w:val="0075062B"/>
    <w:rsid w:val="00750FEA"/>
    <w:rsid w:val="00757B87"/>
    <w:rsid w:val="007627E3"/>
    <w:rsid w:val="007755A4"/>
    <w:rsid w:val="00776E41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7F2CCB"/>
    <w:rsid w:val="00805EF5"/>
    <w:rsid w:val="00806D16"/>
    <w:rsid w:val="00813294"/>
    <w:rsid w:val="00814806"/>
    <w:rsid w:val="008152AD"/>
    <w:rsid w:val="00815AF8"/>
    <w:rsid w:val="00834F2B"/>
    <w:rsid w:val="00837714"/>
    <w:rsid w:val="00844764"/>
    <w:rsid w:val="00872C12"/>
    <w:rsid w:val="00872D85"/>
    <w:rsid w:val="008831C3"/>
    <w:rsid w:val="008833EF"/>
    <w:rsid w:val="00884663"/>
    <w:rsid w:val="008923E9"/>
    <w:rsid w:val="008A2A1B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12B"/>
    <w:rsid w:val="0091678F"/>
    <w:rsid w:val="00935C32"/>
    <w:rsid w:val="009369FB"/>
    <w:rsid w:val="00946FC6"/>
    <w:rsid w:val="00967B88"/>
    <w:rsid w:val="0097203E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075A7"/>
    <w:rsid w:val="00A11357"/>
    <w:rsid w:val="00A172F8"/>
    <w:rsid w:val="00A31F50"/>
    <w:rsid w:val="00A33C51"/>
    <w:rsid w:val="00A35149"/>
    <w:rsid w:val="00A53F3E"/>
    <w:rsid w:val="00A63ED4"/>
    <w:rsid w:val="00A67E63"/>
    <w:rsid w:val="00A7176E"/>
    <w:rsid w:val="00A71D06"/>
    <w:rsid w:val="00AA0F4F"/>
    <w:rsid w:val="00AA13F0"/>
    <w:rsid w:val="00AB004A"/>
    <w:rsid w:val="00AB498A"/>
    <w:rsid w:val="00AC01B0"/>
    <w:rsid w:val="00AC08AA"/>
    <w:rsid w:val="00AC64F0"/>
    <w:rsid w:val="00AC6896"/>
    <w:rsid w:val="00AD05AC"/>
    <w:rsid w:val="00AD740D"/>
    <w:rsid w:val="00B05955"/>
    <w:rsid w:val="00B20A65"/>
    <w:rsid w:val="00B22C55"/>
    <w:rsid w:val="00B5380D"/>
    <w:rsid w:val="00B60874"/>
    <w:rsid w:val="00B6516B"/>
    <w:rsid w:val="00B73ABA"/>
    <w:rsid w:val="00B778AA"/>
    <w:rsid w:val="00B93ED4"/>
    <w:rsid w:val="00BA19D8"/>
    <w:rsid w:val="00BA65D2"/>
    <w:rsid w:val="00BB3B11"/>
    <w:rsid w:val="00BC216F"/>
    <w:rsid w:val="00BC2ABB"/>
    <w:rsid w:val="00BC387A"/>
    <w:rsid w:val="00BF55F6"/>
    <w:rsid w:val="00C0003E"/>
    <w:rsid w:val="00C02E72"/>
    <w:rsid w:val="00C03091"/>
    <w:rsid w:val="00C12D2B"/>
    <w:rsid w:val="00C24ABB"/>
    <w:rsid w:val="00C34111"/>
    <w:rsid w:val="00C46C1C"/>
    <w:rsid w:val="00C551CD"/>
    <w:rsid w:val="00C552BE"/>
    <w:rsid w:val="00C56C9E"/>
    <w:rsid w:val="00C61066"/>
    <w:rsid w:val="00C6291C"/>
    <w:rsid w:val="00C62A22"/>
    <w:rsid w:val="00C63602"/>
    <w:rsid w:val="00C83C7F"/>
    <w:rsid w:val="00C86B57"/>
    <w:rsid w:val="00CA0157"/>
    <w:rsid w:val="00CB2D83"/>
    <w:rsid w:val="00CB369D"/>
    <w:rsid w:val="00CC1FE4"/>
    <w:rsid w:val="00CD6F40"/>
    <w:rsid w:val="00CE0C3C"/>
    <w:rsid w:val="00CE5172"/>
    <w:rsid w:val="00CF7799"/>
    <w:rsid w:val="00D05705"/>
    <w:rsid w:val="00D111F9"/>
    <w:rsid w:val="00D13192"/>
    <w:rsid w:val="00D31E84"/>
    <w:rsid w:val="00D33D7D"/>
    <w:rsid w:val="00D344FF"/>
    <w:rsid w:val="00D37D32"/>
    <w:rsid w:val="00D4374D"/>
    <w:rsid w:val="00D637D4"/>
    <w:rsid w:val="00D71FE6"/>
    <w:rsid w:val="00D72476"/>
    <w:rsid w:val="00D822CC"/>
    <w:rsid w:val="00DA1655"/>
    <w:rsid w:val="00DA4495"/>
    <w:rsid w:val="00DA485E"/>
    <w:rsid w:val="00DA5745"/>
    <w:rsid w:val="00DB1210"/>
    <w:rsid w:val="00DB2D3E"/>
    <w:rsid w:val="00DD23A0"/>
    <w:rsid w:val="00DD4EC2"/>
    <w:rsid w:val="00DE5290"/>
    <w:rsid w:val="00DF4BF9"/>
    <w:rsid w:val="00DF576F"/>
    <w:rsid w:val="00DF5B72"/>
    <w:rsid w:val="00E06861"/>
    <w:rsid w:val="00E20AD6"/>
    <w:rsid w:val="00E307C3"/>
    <w:rsid w:val="00E60FD0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F35F1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emagis.com.br/area-gratuita/que-negocio-e-esse/reserva-geral-de-administracao-versus-reserva-especifica-de-administracao/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F3CA-9730-4087-81A0-BE242CA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3029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2022-10-27T16:38:00Z</dcterms:created>
  <dcterms:modified xsi:type="dcterms:W3CDTF">2022-10-27T18:51:00Z</dcterms:modified>
</cp:coreProperties>
</file>