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BC5BCF" w:rsidP="00A779B8">
      <w:pPr>
        <w:pStyle w:val="Default"/>
        <w:jc w:val="both"/>
        <w:rPr>
          <w:rFonts w:ascii="Calibri" w:hAnsi="Calibri" w:cs="Calibri"/>
          <w:b/>
          <w:color w:val="auto"/>
        </w:rPr>
      </w:pPr>
      <w:bookmarkStart w:id="0" w:name="_GoBack"/>
    </w:p>
    <w:p w:rsidR="00A779B8" w:rsidRPr="00BC5BCF" w:rsidP="00A779B8">
      <w:pPr>
        <w:pStyle w:val="Default"/>
        <w:jc w:val="both"/>
        <w:rPr>
          <w:rFonts w:ascii="Calibri" w:eastAsia="Times New Roman" w:hAnsi="Calibri" w:cs="Calibri"/>
          <w:bCs/>
          <w:color w:val="auto"/>
        </w:rPr>
      </w:pPr>
      <w:r w:rsidRPr="00BC5BCF">
        <w:rPr>
          <w:rFonts w:ascii="Calibri" w:hAnsi="Calibri" w:cs="Calibri"/>
          <w:b/>
          <w:color w:val="auto"/>
        </w:rPr>
        <w:t>Parecer Jurídico nº</w:t>
      </w:r>
      <w:r w:rsidRPr="00BC5BCF" w:rsidR="00F50ADA">
        <w:rPr>
          <w:rFonts w:ascii="Calibri" w:hAnsi="Calibri" w:cs="Calibri"/>
          <w:b/>
          <w:color w:val="auto"/>
        </w:rPr>
        <w:t xml:space="preserve"> </w:t>
      </w:r>
      <w:r w:rsidRPr="00BC5BCF" w:rsidR="00BC5BCF">
        <w:rPr>
          <w:rFonts w:ascii="Calibri" w:hAnsi="Calibri" w:cs="Calibri"/>
          <w:b/>
          <w:color w:val="auto"/>
        </w:rPr>
        <w:t>321</w:t>
      </w:r>
      <w:r w:rsidRPr="00BC5BCF">
        <w:rPr>
          <w:rFonts w:ascii="Calibri" w:hAnsi="Calibri" w:cs="Calibri"/>
          <w:b/>
          <w:color w:val="auto"/>
        </w:rPr>
        <w:t>/2022.</w:t>
      </w:r>
    </w:p>
    <w:bookmarkEnd w:id="0"/>
    <w:p w:rsidR="0023693B" w:rsidP="0023693B">
      <w:pPr>
        <w:spacing w:after="0" w:line="240" w:lineRule="auto"/>
        <w:jc w:val="both"/>
        <w:rPr>
          <w:rFonts w:ascii="Calibri" w:hAnsi="Calibri" w:cs="Calibri"/>
          <w:bCs/>
        </w:rPr>
      </w:pPr>
      <w:r w:rsidRPr="00DA5745">
        <w:rPr>
          <w:rFonts w:ascii="Calibri" w:hAnsi="Calibri" w:cs="Calibri"/>
          <w:b/>
          <w:bCs/>
          <w:szCs w:val="24"/>
        </w:rPr>
        <w:t xml:space="preserve">Assunto: </w:t>
      </w:r>
      <w:r>
        <w:rPr>
          <w:rFonts w:ascii="Calibri" w:hAnsi="Calibri" w:cs="Calibri"/>
          <w:b/>
          <w:bCs/>
          <w:szCs w:val="24"/>
        </w:rPr>
        <w:t>Emenda 01 ao</w:t>
      </w:r>
      <w:r w:rsidR="00FC140B">
        <w:rPr>
          <w:rFonts w:ascii="Calibri" w:hAnsi="Calibri" w:cs="Calibri"/>
          <w:b/>
          <w:bCs/>
          <w:szCs w:val="24"/>
        </w:rPr>
        <w:t xml:space="preserve"> </w:t>
      </w:r>
      <w:r w:rsidRPr="00230814" w:rsidR="00FC140B">
        <w:rPr>
          <w:rFonts w:ascii="Calibri" w:hAnsi="Calibri" w:cs="Calibri"/>
          <w:b/>
          <w:bCs/>
        </w:rPr>
        <w:t xml:space="preserve">Projeto de Lei nº </w:t>
      </w:r>
      <w:r>
        <w:rPr>
          <w:rFonts w:ascii="Calibri" w:hAnsi="Calibri" w:cs="Calibri"/>
          <w:b/>
          <w:bCs/>
        </w:rPr>
        <w:t>172</w:t>
      </w:r>
      <w:r w:rsidR="001604ED">
        <w:rPr>
          <w:rFonts w:ascii="Calibri" w:hAnsi="Calibri" w:cs="Calibri"/>
          <w:b/>
          <w:bCs/>
        </w:rPr>
        <w:t>/2022</w:t>
      </w:r>
      <w:r>
        <w:rPr>
          <w:rFonts w:ascii="Calibri" w:hAnsi="Calibri" w:cs="Calibri"/>
          <w:b/>
          <w:bCs/>
        </w:rPr>
        <w:t xml:space="preserve"> </w:t>
      </w:r>
      <w:r w:rsidRPr="0023693B">
        <w:rPr>
          <w:rFonts w:ascii="Calibri" w:hAnsi="Calibri" w:cs="Calibri"/>
          <w:bCs/>
        </w:rPr>
        <w:t xml:space="preserve">que “Altera as Leis </w:t>
      </w:r>
      <w:r w:rsidRPr="0023693B">
        <w:rPr>
          <w:rFonts w:ascii="Calibri" w:hAnsi="Calibri" w:cs="Calibri"/>
          <w:bCs/>
        </w:rPr>
        <w:t>ns</w:t>
      </w:r>
      <w:r w:rsidRPr="0023693B">
        <w:rPr>
          <w:rFonts w:ascii="Calibri" w:hAnsi="Calibri" w:cs="Calibri"/>
          <w:bCs/>
        </w:rPr>
        <w:t>. 6.206, de 23 de dezembro de 2021 (Estrutura Administrativa e de Cargos da Prefeitura do Município de Valinhos), 4.732, de 21 de dezembro de 2011 (Estrutura Administrativa e de Cargos do DAEV), 5.802, de 14 de março de 2019 (Estrutura Administrativa e de Cargos do VALIPREV), e dá outr</w:t>
      </w:r>
      <w:r>
        <w:rPr>
          <w:rFonts w:ascii="Calibri" w:hAnsi="Calibri" w:cs="Calibri"/>
          <w:bCs/>
        </w:rPr>
        <w:t>as providências. (Mens. 57/22)”.</w:t>
      </w:r>
    </w:p>
    <w:p w:rsidR="00A779B8" w:rsidRPr="00DA5745" w:rsidP="0023693B">
      <w:pPr>
        <w:spacing w:after="0" w:line="240" w:lineRule="auto"/>
        <w:jc w:val="both"/>
        <w:rPr>
          <w:rFonts w:ascii="Calibri" w:hAnsi="Calibri" w:cs="Calibri"/>
          <w:b/>
          <w:bCs/>
          <w:szCs w:val="24"/>
        </w:rPr>
      </w:pPr>
      <w:r>
        <w:rPr>
          <w:rFonts w:ascii="Calibri" w:hAnsi="Calibri" w:cs="Calibri"/>
          <w:b/>
          <w:bCs/>
        </w:rPr>
        <w:t>Emenda de a</w:t>
      </w:r>
      <w:r w:rsidR="0023693B">
        <w:rPr>
          <w:rFonts w:ascii="Calibri" w:hAnsi="Calibri" w:cs="Calibri"/>
          <w:b/>
          <w:bCs/>
          <w:szCs w:val="24"/>
        </w:rPr>
        <w:t>utoria do Vereador Alécio Cau</w:t>
      </w:r>
      <w:r w:rsidR="00F50ADA">
        <w:rPr>
          <w:rFonts w:ascii="Calibri" w:hAnsi="Calibri" w:cs="Calibri"/>
          <w:b/>
          <w:bCs/>
          <w:szCs w:val="24"/>
        </w:rPr>
        <w:t>.</w:t>
      </w:r>
    </w:p>
    <w:p w:rsidR="00A779B8" w:rsidRPr="00DA5745"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0F259D" w:rsidP="00A779B8">
      <w:pPr>
        <w:pStyle w:val="Default"/>
        <w:jc w:val="both"/>
        <w:rPr>
          <w:rFonts w:ascii="Calibri" w:hAnsi="Calibri" w:cs="Calibri"/>
          <w:b/>
          <w:i/>
          <w:color w:val="auto"/>
        </w:rPr>
      </w:pPr>
    </w:p>
    <w:p w:rsidR="000F259D" w:rsidP="00A779B8">
      <w:pPr>
        <w:pStyle w:val="Default"/>
        <w:jc w:val="both"/>
        <w:rPr>
          <w:rFonts w:ascii="Calibri" w:hAnsi="Calibri" w:cs="Calibri"/>
          <w:b/>
          <w:i/>
          <w:color w:val="auto"/>
        </w:rPr>
      </w:pPr>
    </w:p>
    <w:p w:rsidR="000F259D" w:rsidP="00A779B8">
      <w:pPr>
        <w:pStyle w:val="Default"/>
        <w:jc w:val="both"/>
        <w:rPr>
          <w:rFonts w:ascii="Calibri" w:hAnsi="Calibri" w:cs="Calibri"/>
          <w:b/>
          <w:i/>
          <w:color w:val="auto"/>
        </w:rPr>
      </w:pPr>
    </w:p>
    <w:p w:rsidR="000F259D" w:rsidP="00A779B8">
      <w:pPr>
        <w:pStyle w:val="Default"/>
        <w:jc w:val="both"/>
        <w:rPr>
          <w:rFonts w:ascii="Calibri" w:hAnsi="Calibri" w:cs="Calibri"/>
          <w:b/>
          <w:i/>
          <w:color w:val="auto"/>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A779B8" w:rsidP="00A779B8">
      <w:pPr>
        <w:pStyle w:val="Default"/>
        <w:spacing w:after="120" w:line="360" w:lineRule="auto"/>
        <w:jc w:val="both"/>
        <w:rPr>
          <w:rFonts w:asciiTheme="minorHAnsi" w:hAnsiTheme="minorHAnsi" w:cstheme="minorHAnsi"/>
          <w:sz w:val="12"/>
          <w:szCs w:val="12"/>
        </w:rPr>
      </w:pPr>
    </w:p>
    <w:p w:rsidR="000F259D" w:rsidP="00A779B8">
      <w:pPr>
        <w:pStyle w:val="Default"/>
        <w:spacing w:after="120" w:line="360" w:lineRule="auto"/>
        <w:jc w:val="both"/>
        <w:rPr>
          <w:rFonts w:asciiTheme="minorHAnsi" w:hAnsiTheme="minorHAnsi" w:cstheme="minorHAnsi"/>
          <w:sz w:val="12"/>
          <w:szCs w:val="12"/>
        </w:rPr>
      </w:pPr>
    </w:p>
    <w:p w:rsidR="000F259D" w:rsidP="00A779B8">
      <w:pPr>
        <w:pStyle w:val="Default"/>
        <w:spacing w:after="120" w:line="360" w:lineRule="auto"/>
        <w:jc w:val="both"/>
        <w:rPr>
          <w:rFonts w:asciiTheme="minorHAnsi" w:hAnsiTheme="minorHAnsi" w:cstheme="minorHAnsi"/>
          <w:sz w:val="12"/>
          <w:szCs w:val="12"/>
        </w:rPr>
      </w:pPr>
    </w:p>
    <w:p w:rsidR="000F259D" w:rsidRPr="00081211" w:rsidP="00A779B8">
      <w:pPr>
        <w:pStyle w:val="Default"/>
        <w:spacing w:after="120" w:line="360" w:lineRule="auto"/>
        <w:jc w:val="both"/>
        <w:rPr>
          <w:rFonts w:asciiTheme="minorHAnsi" w:hAnsiTheme="minorHAnsi" w:cstheme="minorHAnsi"/>
          <w:sz w:val="12"/>
          <w:szCs w:val="12"/>
        </w:rPr>
      </w:pPr>
    </w:p>
    <w:p w:rsidR="0023693B" w:rsidRPr="0023693B" w:rsidP="0023693B">
      <w:pPr>
        <w:pStyle w:val="Default"/>
        <w:spacing w:after="240" w:line="360" w:lineRule="auto"/>
        <w:ind w:firstLine="2268"/>
        <w:jc w:val="both"/>
        <w:rPr>
          <w:rFonts w:asciiTheme="minorHAnsi" w:hAnsiTheme="minorHAnsi" w:cstheme="minorHAnsi"/>
          <w:i/>
        </w:rPr>
      </w:pPr>
      <w:r w:rsidRPr="0023693B">
        <w:rPr>
          <w:rFonts w:asciiTheme="minorHAnsi" w:hAnsiTheme="minorHAnsi" w:cstheme="minorHAnsi"/>
        </w:rPr>
        <w:t>Trata-se de parecer jurídico relativo à emenda em epígrafe que</w:t>
      </w:r>
      <w:r w:rsidRPr="0023693B">
        <w:rPr>
          <w:rFonts w:asciiTheme="minorHAnsi" w:hAnsiTheme="minorHAnsi" w:cstheme="minorHAnsi"/>
        </w:rPr>
        <w:t xml:space="preserve"> </w:t>
      </w:r>
      <w:r w:rsidRPr="0023693B">
        <w:rPr>
          <w:rFonts w:asciiTheme="minorHAnsi" w:hAnsiTheme="minorHAnsi" w:cstheme="minorHAnsi"/>
          <w:i/>
        </w:rPr>
        <w:t>“Modifica o art. 2º do Projeto de Lei n. 172/2022, aprimorando as exigências para o cargo de Procurador Geral do Município”.</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A779B8">
      <w:pPr>
        <w:spacing w:after="120" w:line="360" w:lineRule="auto"/>
        <w:ind w:firstLine="2268"/>
        <w:jc w:val="both"/>
        <w:rPr>
          <w:rFonts w:asciiTheme="minorHAnsi" w:hAnsiTheme="minorHAnsi" w:cstheme="minorHAnsi"/>
          <w:szCs w:val="24"/>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w:t>
      </w:r>
      <w:r w:rsidRPr="0006682F">
        <w:rPr>
          <w:rFonts w:asciiTheme="minorHAnsi" w:hAnsiTheme="minorHAnsi" w:cstheme="minorHAnsi"/>
          <w:i/>
          <w:sz w:val="22"/>
          <w:szCs w:val="22"/>
        </w:rPr>
        <w:t xml:space="preserve">do que a opinião emitida pelo operador do direito, opinião técnico-jurídica, que orientará o administrador na tomada da decisão, na prática do ato administrativo, que se constitui na 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001604ED">
        <w:rPr>
          <w:rFonts w:eastAsia="Calibri" w:asciiTheme="minorHAnsi" w:hAnsiTheme="minorHAnsi" w:cstheme="minorHAnsi"/>
          <w:color w:val="000000"/>
          <w:szCs w:val="24"/>
        </w:rPr>
        <w:t xml:space="preserve"> passamos para</w:t>
      </w:r>
      <w:r w:rsidRPr="00AD09BD">
        <w:rPr>
          <w:rFonts w:eastAsia="Calibri" w:asciiTheme="minorHAnsi" w:hAnsiTheme="minorHAnsi" w:cstheme="minorHAnsi"/>
          <w:color w:val="000000"/>
          <w:szCs w:val="24"/>
        </w:rPr>
        <w:t xml:space="preserve"> análise técnica do projeto em epígrafe solicitado.</w:t>
      </w:r>
    </w:p>
    <w:p w:rsidR="00A94458" w:rsidP="00A94458">
      <w:pPr>
        <w:tabs>
          <w:tab w:val="left" w:pos="1701"/>
        </w:tabs>
        <w:spacing w:after="120" w:line="360" w:lineRule="auto"/>
        <w:ind w:firstLine="2268"/>
        <w:jc w:val="both"/>
        <w:rPr>
          <w:rFonts w:asciiTheme="minorHAnsi" w:hAnsiTheme="minorHAnsi" w:cstheme="minorHAnsi"/>
          <w:szCs w:val="24"/>
        </w:rPr>
      </w:pPr>
      <w:r>
        <w:rPr>
          <w:rFonts w:asciiTheme="minorHAnsi" w:hAnsiTheme="minorHAnsi" w:cstheme="minorHAnsi"/>
          <w:szCs w:val="24"/>
        </w:rPr>
        <w:t xml:space="preserve">A Emenda em </w:t>
      </w:r>
      <w:r w:rsidRPr="005945EE">
        <w:rPr>
          <w:rFonts w:asciiTheme="minorHAnsi" w:hAnsiTheme="minorHAnsi" w:cstheme="minorHAnsi"/>
          <w:szCs w:val="24"/>
        </w:rPr>
        <w:t xml:space="preserve">análise almeja </w:t>
      </w:r>
      <w:r>
        <w:rPr>
          <w:rFonts w:asciiTheme="minorHAnsi" w:hAnsiTheme="minorHAnsi" w:cstheme="minorHAnsi"/>
          <w:szCs w:val="24"/>
        </w:rPr>
        <w:t>altera</w:t>
      </w:r>
      <w:r w:rsidRPr="005945EE">
        <w:rPr>
          <w:rFonts w:asciiTheme="minorHAnsi" w:hAnsiTheme="minorHAnsi" w:cstheme="minorHAnsi"/>
          <w:szCs w:val="24"/>
        </w:rPr>
        <w:t>r a redação proposta para o</w:t>
      </w:r>
      <w:r>
        <w:rPr>
          <w:rFonts w:asciiTheme="minorHAnsi" w:hAnsiTheme="minorHAnsi" w:cstheme="minorHAnsi"/>
          <w:szCs w:val="24"/>
        </w:rPr>
        <w:t xml:space="preserve"> art.</w:t>
      </w:r>
      <w:r w:rsidRPr="005945EE">
        <w:rPr>
          <w:rFonts w:asciiTheme="minorHAnsi" w:hAnsiTheme="minorHAnsi" w:cstheme="minorHAnsi"/>
          <w:szCs w:val="24"/>
        </w:rPr>
        <w:t xml:space="preserve"> 2</w:t>
      </w:r>
      <w:r>
        <w:rPr>
          <w:rFonts w:asciiTheme="minorHAnsi" w:hAnsiTheme="minorHAnsi" w:cstheme="minorHAnsi"/>
          <w:szCs w:val="24"/>
        </w:rPr>
        <w:t>º do</w:t>
      </w:r>
      <w:r w:rsidRPr="005945EE">
        <w:rPr>
          <w:rFonts w:asciiTheme="minorHAnsi" w:hAnsiTheme="minorHAnsi" w:cstheme="minorHAnsi"/>
          <w:szCs w:val="24"/>
        </w:rPr>
        <w:t> </w:t>
      </w:r>
      <w:r>
        <w:rPr>
          <w:rFonts w:asciiTheme="minorHAnsi" w:hAnsiTheme="minorHAnsi" w:cstheme="minorHAnsi"/>
          <w:szCs w:val="24"/>
        </w:rPr>
        <w:t xml:space="preserve">Projeto de </w:t>
      </w:r>
      <w:r w:rsidRPr="005945EE">
        <w:rPr>
          <w:rFonts w:asciiTheme="minorHAnsi" w:hAnsiTheme="minorHAnsi" w:cstheme="minorHAnsi"/>
          <w:szCs w:val="24"/>
        </w:rPr>
        <w:t xml:space="preserve">Lei nº </w:t>
      </w:r>
      <w:r>
        <w:rPr>
          <w:rFonts w:asciiTheme="minorHAnsi" w:hAnsiTheme="minorHAnsi" w:cstheme="minorHAnsi"/>
          <w:szCs w:val="24"/>
        </w:rPr>
        <w:t>172</w:t>
      </w:r>
      <w:r w:rsidRPr="005945EE">
        <w:rPr>
          <w:rFonts w:asciiTheme="minorHAnsi" w:hAnsiTheme="minorHAnsi" w:cstheme="minorHAnsi"/>
          <w:szCs w:val="24"/>
        </w:rPr>
        <w:t>/20</w:t>
      </w:r>
      <w:r>
        <w:rPr>
          <w:rFonts w:asciiTheme="minorHAnsi" w:hAnsiTheme="minorHAnsi" w:cstheme="minorHAnsi"/>
          <w:szCs w:val="24"/>
        </w:rPr>
        <w:t>22</w:t>
      </w:r>
      <w:r w:rsidRPr="005945EE">
        <w:rPr>
          <w:rFonts w:asciiTheme="minorHAnsi" w:hAnsiTheme="minorHAnsi" w:cstheme="minorHAnsi"/>
          <w:szCs w:val="24"/>
        </w:rPr>
        <w:t>, que</w:t>
      </w:r>
      <w:r>
        <w:rPr>
          <w:rFonts w:asciiTheme="minorHAnsi" w:hAnsiTheme="minorHAnsi" w:cstheme="minorHAnsi"/>
          <w:szCs w:val="24"/>
        </w:rPr>
        <w:t xml:space="preserve"> </w:t>
      </w:r>
      <w:r w:rsidRPr="0001147D">
        <w:rPr>
          <w:rFonts w:ascii="Calibri" w:hAnsi="Calibri" w:cs="Calibri"/>
          <w:bCs/>
          <w:i/>
        </w:rPr>
        <w:t xml:space="preserve">“Altera as Leis </w:t>
      </w:r>
      <w:r w:rsidRPr="0001147D">
        <w:rPr>
          <w:rFonts w:ascii="Calibri" w:hAnsi="Calibri" w:cs="Calibri"/>
          <w:bCs/>
          <w:i/>
        </w:rPr>
        <w:t>ns</w:t>
      </w:r>
      <w:r w:rsidRPr="0001147D">
        <w:rPr>
          <w:rFonts w:ascii="Calibri" w:hAnsi="Calibri" w:cs="Calibri"/>
          <w:bCs/>
          <w:i/>
        </w:rPr>
        <w:t>. 6.206, de 23 de dezembro de 2021 (Estrutura Administrativa e de Cargos da Prefeitura do Município de Valinhos), 4.732, de 21 de dezembro de 2011 (Estrutura Administrativa e de Cargos do DAEV), 5.802, de 14 de março de 2019 (Estrutura Administrativa e de Cargos do VALIPREV), e dá outras providências. (Mens. 57/22)”</w:t>
      </w:r>
      <w:r w:rsidRPr="005945EE">
        <w:rPr>
          <w:rFonts w:asciiTheme="minorHAnsi" w:hAnsiTheme="minorHAnsi" w:cstheme="minorHAnsi"/>
          <w:szCs w:val="24"/>
        </w:rPr>
        <w:t xml:space="preserve">, </w:t>
      </w:r>
      <w:r>
        <w:rPr>
          <w:rFonts w:asciiTheme="minorHAnsi" w:hAnsiTheme="minorHAnsi" w:cstheme="minorHAnsi"/>
          <w:szCs w:val="24"/>
        </w:rPr>
        <w:t>nos seguintes termos</w:t>
      </w:r>
      <w:r w:rsidRPr="005945EE">
        <w:rPr>
          <w:rFonts w:asciiTheme="minorHAnsi" w:hAnsiTheme="minorHAnsi" w:cstheme="minorHAnsi"/>
          <w:szCs w:val="24"/>
        </w:rPr>
        <w:t>:</w:t>
      </w:r>
    </w:p>
    <w:tbl>
      <w:tblPr>
        <w:tblStyle w:val="TableGrid"/>
        <w:tblW w:w="10206" w:type="dxa"/>
        <w:tblInd w:w="-1026" w:type="dxa"/>
        <w:tblLayout w:type="fixed"/>
        <w:tblLook w:val="04A0"/>
      </w:tblPr>
      <w:tblGrid>
        <w:gridCol w:w="4928"/>
        <w:gridCol w:w="5278"/>
      </w:tblGrid>
      <w:tr w:rsidTr="00621D83">
        <w:tblPrEx>
          <w:tblW w:w="10206" w:type="dxa"/>
          <w:tblInd w:w="-1026" w:type="dxa"/>
          <w:tblLayout w:type="fixed"/>
          <w:tblLook w:val="04A0"/>
        </w:tblPrEx>
        <w:tc>
          <w:tcPr>
            <w:tcW w:w="4928" w:type="dxa"/>
          </w:tcPr>
          <w:p w:rsidR="00026560" w:rsidP="001604ED">
            <w:pPr>
              <w:tabs>
                <w:tab w:val="left" w:pos="1701"/>
              </w:tabs>
              <w:spacing w:before="240" w:after="240" w:line="276" w:lineRule="auto"/>
              <w:jc w:val="center"/>
              <w:rPr>
                <w:rFonts w:asciiTheme="minorHAnsi" w:hAnsiTheme="minorHAnsi" w:cstheme="minorHAnsi"/>
                <w:b/>
                <w:szCs w:val="24"/>
              </w:rPr>
            </w:pPr>
          </w:p>
          <w:p w:rsidR="001604ED" w:rsidRPr="00621D83" w:rsidP="001604ED">
            <w:pPr>
              <w:tabs>
                <w:tab w:val="left" w:pos="1701"/>
              </w:tabs>
              <w:spacing w:before="240" w:after="240" w:line="276" w:lineRule="auto"/>
              <w:jc w:val="center"/>
              <w:rPr>
                <w:rFonts w:asciiTheme="minorHAnsi" w:hAnsiTheme="minorHAnsi" w:cstheme="minorHAnsi"/>
                <w:b/>
                <w:szCs w:val="24"/>
              </w:rPr>
            </w:pPr>
            <w:r w:rsidRPr="00621D83">
              <w:rPr>
                <w:rFonts w:asciiTheme="minorHAnsi" w:hAnsiTheme="minorHAnsi" w:cstheme="minorHAnsi"/>
                <w:b/>
                <w:szCs w:val="24"/>
              </w:rPr>
              <w:t>Projeto de Lei nº 172</w:t>
            </w:r>
            <w:r w:rsidRPr="00621D83">
              <w:rPr>
                <w:rFonts w:asciiTheme="minorHAnsi" w:hAnsiTheme="minorHAnsi" w:cstheme="minorHAnsi"/>
                <w:b/>
                <w:szCs w:val="24"/>
              </w:rPr>
              <w:t>/2022</w:t>
            </w:r>
          </w:p>
        </w:tc>
        <w:tc>
          <w:tcPr>
            <w:tcW w:w="5278" w:type="dxa"/>
          </w:tcPr>
          <w:p w:rsidR="00026560" w:rsidP="00E86B5F">
            <w:pPr>
              <w:tabs>
                <w:tab w:val="left" w:pos="1701"/>
              </w:tabs>
              <w:spacing w:before="240" w:after="240" w:line="276" w:lineRule="auto"/>
              <w:jc w:val="center"/>
              <w:rPr>
                <w:rFonts w:asciiTheme="minorHAnsi" w:hAnsiTheme="minorHAnsi" w:cstheme="minorHAnsi"/>
                <w:b/>
                <w:szCs w:val="24"/>
              </w:rPr>
            </w:pPr>
          </w:p>
          <w:p w:rsidR="001604ED" w:rsidP="00E86B5F">
            <w:pPr>
              <w:tabs>
                <w:tab w:val="left" w:pos="1701"/>
              </w:tabs>
              <w:spacing w:before="240" w:after="240" w:line="276" w:lineRule="auto"/>
              <w:jc w:val="center"/>
              <w:rPr>
                <w:rFonts w:asciiTheme="minorHAnsi" w:hAnsiTheme="minorHAnsi" w:cstheme="minorHAnsi"/>
                <w:b/>
                <w:szCs w:val="24"/>
              </w:rPr>
            </w:pPr>
            <w:r w:rsidRPr="00621D83">
              <w:rPr>
                <w:rFonts w:asciiTheme="minorHAnsi" w:hAnsiTheme="minorHAnsi" w:cstheme="minorHAnsi"/>
                <w:b/>
                <w:szCs w:val="24"/>
              </w:rPr>
              <w:t>Redação proposta na Emenda 01</w:t>
            </w:r>
          </w:p>
          <w:p w:rsidR="00026560" w:rsidRPr="00621D83" w:rsidP="00E86B5F">
            <w:pPr>
              <w:tabs>
                <w:tab w:val="left" w:pos="1701"/>
              </w:tabs>
              <w:spacing w:before="240" w:after="240" w:line="276" w:lineRule="auto"/>
              <w:jc w:val="center"/>
              <w:rPr>
                <w:rFonts w:asciiTheme="minorHAnsi" w:hAnsiTheme="minorHAnsi" w:cstheme="minorHAnsi"/>
                <w:b/>
                <w:szCs w:val="24"/>
              </w:rPr>
            </w:pPr>
          </w:p>
        </w:tc>
      </w:tr>
      <w:tr w:rsidTr="00621D83">
        <w:tblPrEx>
          <w:tblW w:w="10206" w:type="dxa"/>
          <w:tblInd w:w="-1026" w:type="dxa"/>
          <w:tblLayout w:type="fixed"/>
          <w:tblLook w:val="04A0"/>
        </w:tblPrEx>
        <w:trPr>
          <w:trHeight w:val="3538"/>
        </w:trPr>
        <w:tc>
          <w:tcPr>
            <w:tcW w:w="4928" w:type="dxa"/>
          </w:tcPr>
          <w:p w:rsidR="00621D83"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p>
          <w:p w:rsidR="00026560"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p>
          <w:p w:rsidR="00621D83" w:rsidRPr="00766226"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Art. 2º Os anexos III e X da Lei nº 6.206, de 2021, passam a vigorar com as seguintes modificações: </w:t>
            </w:r>
          </w:p>
          <w:p w:rsidR="00621D83" w:rsidRPr="00766226"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 </w:t>
            </w:r>
          </w:p>
          <w:p w:rsidR="00621D83" w:rsidRPr="00766226"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ANEXO X – SECRETARIA DE ASSUNTOS JURÍDICOS – SAJ </w:t>
            </w:r>
          </w:p>
          <w:p w:rsidR="00621D83"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I – CARGO DE PROVIMENTO EM COMISSÃO (CC)</w:t>
            </w:r>
          </w:p>
          <w:p w:rsidR="00026560"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p>
          <w:p w:rsidR="00026560"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p>
          <w:p w:rsidR="00026560"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p>
          <w:p w:rsidR="00026560" w:rsidRPr="00766226"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p>
          <w:p w:rsidR="00621D83" w:rsidP="00621D83">
            <w:pPr>
              <w:spacing w:line="276" w:lineRule="auto"/>
              <w:ind w:hanging="2"/>
              <w:jc w:val="both"/>
              <w:rPr>
                <w:rFonts w:asciiTheme="minorHAnsi" w:hAnsiTheme="minorHAnsi" w:cstheme="minorHAnsi"/>
                <w:sz w:val="20"/>
              </w:rPr>
            </w:pPr>
          </w:p>
          <w:tbl>
            <w:tblPr>
              <w:tblStyle w:val="TableGrid"/>
              <w:tblpPr w:leftFromText="141" w:rightFromText="141" w:vertAnchor="page" w:horzAnchor="margin" w:tblpY="421"/>
              <w:tblOverlap w:val="never"/>
              <w:tblW w:w="4673" w:type="dxa"/>
              <w:tblLayout w:type="fixed"/>
              <w:tblLook w:val="04A0"/>
            </w:tblPr>
            <w:tblGrid>
              <w:gridCol w:w="562"/>
              <w:gridCol w:w="851"/>
              <w:gridCol w:w="1559"/>
              <w:gridCol w:w="567"/>
              <w:gridCol w:w="1134"/>
            </w:tblGrid>
            <w:tr w:rsidTr="00026560">
              <w:tblPrEx>
                <w:tblW w:w="4673" w:type="dxa"/>
                <w:tblLayout w:type="fixed"/>
                <w:tblLook w:val="04A0"/>
              </w:tblPrEx>
              <w:trPr>
                <w:trHeight w:val="640"/>
              </w:trPr>
              <w:tc>
                <w:tcPr>
                  <w:tcW w:w="562" w:type="dxa"/>
                </w:tcPr>
                <w:p w:rsidR="00026560" w:rsidRPr="00766226" w:rsidP="00026560">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ITEM</w:t>
                  </w:r>
                </w:p>
              </w:tc>
              <w:tc>
                <w:tcPr>
                  <w:tcW w:w="851" w:type="dxa"/>
                </w:tcPr>
                <w:p w:rsidR="00026560" w:rsidRPr="00766226" w:rsidP="00026560">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QUANT.</w:t>
                  </w:r>
                </w:p>
              </w:tc>
              <w:tc>
                <w:tcPr>
                  <w:tcW w:w="1559" w:type="dxa"/>
                </w:tcPr>
                <w:p w:rsidR="00026560" w:rsidRPr="00766226" w:rsidP="00026560">
                  <w:pPr>
                    <w:pStyle w:val="Header"/>
                    <w:tabs>
                      <w:tab w:val="left" w:pos="1410"/>
                      <w:tab w:val="clear" w:pos="4419"/>
                      <w:tab w:val="clear" w:pos="8838"/>
                    </w:tabs>
                    <w:spacing w:line="276" w:lineRule="auto"/>
                    <w:jc w:val="both"/>
                    <w:rPr>
                      <w:rFonts w:asciiTheme="minorHAnsi" w:hAnsiTheme="minorHAnsi" w:cstheme="minorHAnsi"/>
                      <w:b/>
                      <w:sz w:val="16"/>
                      <w:szCs w:val="16"/>
                    </w:rPr>
                  </w:pPr>
                  <w:r>
                    <w:rPr>
                      <w:rFonts w:asciiTheme="minorHAnsi" w:hAnsiTheme="minorHAnsi" w:cstheme="minorHAnsi"/>
                      <w:b/>
                      <w:sz w:val="16"/>
                      <w:szCs w:val="16"/>
                    </w:rPr>
                    <w:t>DENOMINAÇÃO</w:t>
                  </w:r>
                </w:p>
              </w:tc>
              <w:tc>
                <w:tcPr>
                  <w:tcW w:w="567" w:type="dxa"/>
                </w:tcPr>
                <w:p w:rsidR="00026560" w:rsidRPr="00766226" w:rsidP="00026560">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REF.</w:t>
                  </w:r>
                </w:p>
              </w:tc>
              <w:tc>
                <w:tcPr>
                  <w:tcW w:w="1134" w:type="dxa"/>
                </w:tcPr>
                <w:p w:rsidR="00026560" w:rsidRPr="00766226" w:rsidP="00026560">
                  <w:pPr>
                    <w:pStyle w:val="Header"/>
                    <w:tabs>
                      <w:tab w:val="left" w:pos="1410"/>
                      <w:tab w:val="clear" w:pos="4419"/>
                      <w:tab w:val="clear" w:pos="8838"/>
                    </w:tabs>
                    <w:spacing w:line="276" w:lineRule="auto"/>
                    <w:jc w:val="both"/>
                    <w:rPr>
                      <w:rFonts w:asciiTheme="minorHAnsi" w:hAnsiTheme="minorHAnsi" w:cstheme="minorHAnsi"/>
                      <w:b/>
                      <w:sz w:val="14"/>
                      <w:szCs w:val="14"/>
                    </w:rPr>
                  </w:pPr>
                  <w:r w:rsidRPr="00766226">
                    <w:rPr>
                      <w:rFonts w:asciiTheme="minorHAnsi" w:hAnsiTheme="minorHAnsi" w:cstheme="minorHAnsi"/>
                      <w:b/>
                      <w:sz w:val="14"/>
                      <w:szCs w:val="14"/>
                    </w:rPr>
                    <w:t>ATRIBUIÇÕES ESPECÍFICAS</w:t>
                  </w:r>
                </w:p>
              </w:tc>
            </w:tr>
            <w:tr w:rsidTr="00026560">
              <w:tblPrEx>
                <w:tblW w:w="4673" w:type="dxa"/>
                <w:tblLayout w:type="fixed"/>
                <w:tblLook w:val="04A0"/>
              </w:tblPrEx>
              <w:trPr>
                <w:trHeight w:val="2535"/>
              </w:trPr>
              <w:tc>
                <w:tcPr>
                  <w:tcW w:w="562" w:type="dxa"/>
                </w:tcPr>
                <w:p w:rsidR="00026560" w:rsidRPr="00766226" w:rsidP="00026560">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I.</w:t>
                  </w:r>
                  <w:r>
                    <w:rPr>
                      <w:rFonts w:asciiTheme="minorHAnsi" w:hAnsiTheme="minorHAnsi" w:cstheme="minorHAnsi"/>
                      <w:sz w:val="20"/>
                    </w:rPr>
                    <w:t>3</w:t>
                  </w:r>
                </w:p>
              </w:tc>
              <w:tc>
                <w:tcPr>
                  <w:tcW w:w="851" w:type="dxa"/>
                </w:tcPr>
                <w:p w:rsidR="00026560" w:rsidRPr="00766226" w:rsidP="00026560">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01</w:t>
                  </w:r>
                </w:p>
              </w:tc>
              <w:tc>
                <w:tcPr>
                  <w:tcW w:w="1559" w:type="dxa"/>
                </w:tcPr>
                <w:p w:rsidR="00026560" w:rsidP="00026560">
                  <w:pPr>
                    <w:pStyle w:val="Header"/>
                    <w:tabs>
                      <w:tab w:val="left" w:pos="1410"/>
                      <w:tab w:val="clear" w:pos="4419"/>
                      <w:tab w:val="clear" w:pos="8838"/>
                    </w:tabs>
                    <w:spacing w:line="276" w:lineRule="auto"/>
                    <w:jc w:val="both"/>
                    <w:rPr>
                      <w:rFonts w:asciiTheme="minorHAnsi" w:hAnsiTheme="minorHAnsi" w:cstheme="minorHAnsi"/>
                      <w:sz w:val="20"/>
                    </w:rPr>
                  </w:pPr>
                  <w:r w:rsidRPr="00766226">
                    <w:rPr>
                      <w:rFonts w:asciiTheme="minorHAnsi" w:hAnsiTheme="minorHAnsi" w:cstheme="minorHAnsi"/>
                      <w:b/>
                      <w:sz w:val="20"/>
                    </w:rPr>
                    <w:t>Procurador Geral do Município</w:t>
                  </w:r>
                  <w:r w:rsidRPr="00766226">
                    <w:rPr>
                      <w:rFonts w:asciiTheme="minorHAnsi" w:hAnsiTheme="minorHAnsi" w:cstheme="minorHAnsi"/>
                      <w:sz w:val="20"/>
                    </w:rPr>
                    <w:t xml:space="preserve"> </w:t>
                  </w:r>
                </w:p>
                <w:p w:rsidR="00026560" w:rsidRPr="00766226" w:rsidP="00026560">
                  <w:pPr>
                    <w:pStyle w:val="Header"/>
                    <w:tabs>
                      <w:tab w:val="left" w:pos="1410"/>
                      <w:tab w:val="clear" w:pos="4419"/>
                      <w:tab w:val="clear" w:pos="8838"/>
                    </w:tabs>
                    <w:spacing w:line="276" w:lineRule="auto"/>
                    <w:jc w:val="both"/>
                    <w:rPr>
                      <w:rFonts w:asciiTheme="minorHAnsi" w:hAnsiTheme="minorHAnsi" w:cstheme="minorHAnsi"/>
                      <w:sz w:val="20"/>
                    </w:rPr>
                  </w:pPr>
                  <w:r w:rsidRPr="00766226">
                    <w:rPr>
                      <w:rFonts w:asciiTheme="minorHAnsi" w:hAnsiTheme="minorHAnsi" w:cstheme="minorHAnsi"/>
                      <w:sz w:val="20"/>
                    </w:rPr>
                    <w:t xml:space="preserve">(exigência: bacharel em direito com registro ativo na OAB/SP, </w:t>
                  </w:r>
                  <w:r w:rsidRPr="00766226">
                    <w:rPr>
                      <w:rFonts w:asciiTheme="minorHAnsi" w:hAnsiTheme="minorHAnsi" w:cstheme="minorHAnsi"/>
                      <w:sz w:val="20"/>
                    </w:rPr>
                    <w:t>5</w:t>
                  </w:r>
                  <w:r w:rsidRPr="00766226">
                    <w:rPr>
                      <w:rFonts w:asciiTheme="minorHAnsi" w:hAnsiTheme="minorHAnsi" w:cstheme="minorHAnsi"/>
                      <w:sz w:val="20"/>
                    </w:rPr>
                    <w:t xml:space="preserve"> (cinco) anos de atividade jurídica na administração pública e preenchimento dos requisitos do artigo 72 da presente Lei). </w:t>
                  </w:r>
                </w:p>
              </w:tc>
              <w:tc>
                <w:tcPr>
                  <w:tcW w:w="567" w:type="dxa"/>
                </w:tcPr>
                <w:p w:rsidR="00026560" w:rsidRPr="00766226" w:rsidP="00026560">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CC1</w:t>
                  </w:r>
                </w:p>
              </w:tc>
              <w:tc>
                <w:tcPr>
                  <w:tcW w:w="1134" w:type="dxa"/>
                </w:tcPr>
                <w:p w:rsidR="00026560" w:rsidRPr="00766226" w:rsidP="00026560">
                  <w:pPr>
                    <w:pStyle w:val="Header"/>
                    <w:tabs>
                      <w:tab w:val="left" w:pos="1410"/>
                      <w:tab w:val="clear" w:pos="4419"/>
                      <w:tab w:val="clear" w:pos="8838"/>
                    </w:tabs>
                    <w:spacing w:line="276" w:lineRule="auto"/>
                    <w:jc w:val="both"/>
                    <w:rPr>
                      <w:rFonts w:asciiTheme="minorHAnsi" w:hAnsiTheme="minorHAnsi" w:cstheme="minorHAnsi"/>
                      <w:b/>
                      <w:sz w:val="16"/>
                      <w:szCs w:val="16"/>
                    </w:rPr>
                  </w:pPr>
                </w:p>
              </w:tc>
            </w:tr>
          </w:tbl>
          <w:p w:rsidR="000F259D" w:rsidRPr="00766226" w:rsidP="00621D83">
            <w:pPr>
              <w:spacing w:line="276" w:lineRule="auto"/>
              <w:ind w:hanging="2"/>
              <w:jc w:val="both"/>
              <w:rPr>
                <w:rFonts w:asciiTheme="minorHAnsi" w:hAnsiTheme="minorHAnsi" w:cstheme="minorHAnsi"/>
                <w:sz w:val="20"/>
              </w:rPr>
            </w:pPr>
          </w:p>
        </w:tc>
        <w:tc>
          <w:tcPr>
            <w:tcW w:w="5278" w:type="dxa"/>
          </w:tcPr>
          <w:p w:rsidR="00621D83"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026560"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Art. 2º Os anexos III e X da Lei nº 6.206, de 2021, passam a vigorar com as seguintes modificações: </w:t>
            </w:r>
          </w:p>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 </w:t>
            </w:r>
          </w:p>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ANEXO X – SECRETARIA DE ASSUNTOS JURÍDICOS – SAJ </w:t>
            </w:r>
          </w:p>
          <w:p w:rsidR="001604ED"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I – CARGO DE PROVIMENTO EM COMISSÃO (CC)</w:t>
            </w:r>
          </w:p>
          <w:p w:rsidR="00621D83"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23693B"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026560"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026560"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tbl>
            <w:tblPr>
              <w:tblStyle w:val="TableGrid"/>
              <w:tblpPr w:leftFromText="141" w:rightFromText="141" w:vertAnchor="page" w:horzAnchor="margin" w:tblpY="436"/>
              <w:tblOverlap w:val="never"/>
              <w:tblW w:w="0" w:type="auto"/>
              <w:tblLayout w:type="fixed"/>
              <w:tblLook w:val="04A0"/>
            </w:tblPr>
            <w:tblGrid>
              <w:gridCol w:w="596"/>
              <w:gridCol w:w="851"/>
              <w:gridCol w:w="2126"/>
              <w:gridCol w:w="567"/>
              <w:gridCol w:w="709"/>
            </w:tblGrid>
            <w:tr w:rsidTr="00026560">
              <w:tblPrEx>
                <w:tblW w:w="0" w:type="auto"/>
                <w:tblLayout w:type="fixed"/>
                <w:tblLook w:val="04A0"/>
              </w:tblPrEx>
              <w:tc>
                <w:tcPr>
                  <w:tcW w:w="596"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ITEM</w:t>
                  </w:r>
                </w:p>
              </w:tc>
              <w:tc>
                <w:tcPr>
                  <w:tcW w:w="851"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QUAN</w:t>
                  </w:r>
                  <w:r w:rsidRPr="00766226" w:rsidR="00766226">
                    <w:rPr>
                      <w:rFonts w:asciiTheme="minorHAnsi" w:hAnsiTheme="minorHAnsi" w:cstheme="minorHAnsi"/>
                      <w:b/>
                      <w:sz w:val="16"/>
                      <w:szCs w:val="16"/>
                    </w:rPr>
                    <w:t>T.</w:t>
                  </w:r>
                </w:p>
              </w:tc>
              <w:tc>
                <w:tcPr>
                  <w:tcW w:w="2126"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Pr>
                      <w:rFonts w:asciiTheme="minorHAnsi" w:hAnsiTheme="minorHAnsi" w:cstheme="minorHAnsi"/>
                      <w:b/>
                      <w:sz w:val="16"/>
                      <w:szCs w:val="16"/>
                    </w:rPr>
                    <w:t>DENOMINAÇÃO</w:t>
                  </w:r>
                </w:p>
              </w:tc>
              <w:tc>
                <w:tcPr>
                  <w:tcW w:w="567"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REF.</w:t>
                  </w:r>
                </w:p>
              </w:tc>
              <w:tc>
                <w:tcPr>
                  <w:tcW w:w="709"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4"/>
                      <w:szCs w:val="14"/>
                    </w:rPr>
                  </w:pPr>
                  <w:r w:rsidRPr="00766226">
                    <w:rPr>
                      <w:rFonts w:asciiTheme="minorHAnsi" w:hAnsiTheme="minorHAnsi" w:cstheme="minorHAnsi"/>
                      <w:b/>
                      <w:sz w:val="14"/>
                      <w:szCs w:val="14"/>
                    </w:rPr>
                    <w:t>ATRIBUIÇÕES ESPECÍFICAS</w:t>
                  </w:r>
                </w:p>
              </w:tc>
            </w:tr>
            <w:tr w:rsidTr="00026560">
              <w:tblPrEx>
                <w:tblW w:w="0" w:type="auto"/>
                <w:tblLayout w:type="fixed"/>
                <w:tblLook w:val="04A0"/>
              </w:tblPrEx>
              <w:tc>
                <w:tcPr>
                  <w:tcW w:w="596"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I.</w:t>
                  </w:r>
                  <w:r>
                    <w:rPr>
                      <w:rFonts w:asciiTheme="minorHAnsi" w:hAnsiTheme="minorHAnsi" w:cstheme="minorHAnsi"/>
                      <w:sz w:val="20"/>
                    </w:rPr>
                    <w:t>3</w:t>
                  </w:r>
                </w:p>
              </w:tc>
              <w:tc>
                <w:tcPr>
                  <w:tcW w:w="851"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01</w:t>
                  </w:r>
                </w:p>
              </w:tc>
              <w:tc>
                <w:tcPr>
                  <w:tcW w:w="2126" w:type="dxa"/>
                </w:tcPr>
                <w:p w:rsidR="00621D83" w:rsidRPr="00621D83" w:rsidP="00766226">
                  <w:pPr>
                    <w:pStyle w:val="Header"/>
                    <w:tabs>
                      <w:tab w:val="left" w:pos="1410"/>
                      <w:tab w:val="clear" w:pos="4419"/>
                      <w:tab w:val="clear" w:pos="8838"/>
                    </w:tabs>
                    <w:spacing w:line="276" w:lineRule="auto"/>
                    <w:jc w:val="both"/>
                    <w:rPr>
                      <w:rFonts w:asciiTheme="minorHAnsi" w:hAnsiTheme="minorHAnsi" w:cstheme="minorHAnsi"/>
                      <w:b/>
                      <w:sz w:val="20"/>
                    </w:rPr>
                  </w:pPr>
                  <w:r w:rsidRPr="00621D83">
                    <w:rPr>
                      <w:rFonts w:asciiTheme="minorHAnsi" w:hAnsiTheme="minorHAnsi" w:cstheme="minorHAnsi"/>
                      <w:b/>
                      <w:sz w:val="20"/>
                    </w:rPr>
                    <w:t xml:space="preserve">Procurador Geral do Município </w:t>
                  </w:r>
                </w:p>
                <w:p w:rsidR="0023693B" w:rsidRPr="00766226" w:rsidP="00766226">
                  <w:pPr>
                    <w:pStyle w:val="Header"/>
                    <w:tabs>
                      <w:tab w:val="left" w:pos="1410"/>
                      <w:tab w:val="clear" w:pos="4419"/>
                      <w:tab w:val="clear" w:pos="8838"/>
                    </w:tabs>
                    <w:spacing w:line="276" w:lineRule="auto"/>
                    <w:jc w:val="both"/>
                    <w:rPr>
                      <w:rFonts w:asciiTheme="minorHAnsi" w:hAnsiTheme="minorHAnsi" w:cstheme="minorHAnsi"/>
                      <w:sz w:val="20"/>
                    </w:rPr>
                  </w:pPr>
                  <w:r w:rsidRPr="00766226">
                    <w:rPr>
                      <w:rFonts w:asciiTheme="minorHAnsi" w:hAnsiTheme="minorHAnsi" w:cstheme="minorHAnsi"/>
                      <w:sz w:val="20"/>
                    </w:rPr>
                    <w:t xml:space="preserve">(exigência: bacharel em direito com registro ativo na OAB/SP, quando se tratar de Procurador dos quadros efeitos do Município ter </w:t>
                  </w:r>
                  <w:r w:rsidRPr="00766226">
                    <w:rPr>
                      <w:rFonts w:asciiTheme="minorHAnsi" w:hAnsiTheme="minorHAnsi" w:cstheme="minorHAnsi"/>
                      <w:sz w:val="20"/>
                    </w:rPr>
                    <w:t>5</w:t>
                  </w:r>
                  <w:r w:rsidRPr="00766226">
                    <w:rPr>
                      <w:rFonts w:asciiTheme="minorHAnsi" w:hAnsiTheme="minorHAnsi" w:cstheme="minorHAnsi"/>
                      <w:sz w:val="20"/>
                    </w:rPr>
                    <w:t xml:space="preserve"> (cinco) anos de atividade jurídica na administração pública e preenchimento dos requisitos do artigo 72 da presente Lei). A indicação que não seja do quadro de Procuradores exigirá 10 (dez) anos de atividade jurídica na administração pública. Os indicados ao cargo de Procurador Geral do Município não poderão figurar no polo passivo de ações de qualquer natureza promovidas pelo Poder Público e preencher os requisitos do artigo 72 da presente Le</w:t>
                  </w:r>
                  <w:r>
                    <w:rPr>
                      <w:rFonts w:asciiTheme="minorHAnsi" w:hAnsiTheme="minorHAnsi" w:cstheme="minorHAnsi"/>
                      <w:sz w:val="20"/>
                    </w:rPr>
                    <w:t>i.</w:t>
                  </w:r>
                </w:p>
              </w:tc>
              <w:tc>
                <w:tcPr>
                  <w:tcW w:w="567"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CC1</w:t>
                  </w:r>
                </w:p>
              </w:tc>
              <w:tc>
                <w:tcPr>
                  <w:tcW w:w="709" w:type="dxa"/>
                </w:tcPr>
                <w:p w:rsidR="0023693B" w:rsidRPr="00766226" w:rsidP="00766226">
                  <w:pPr>
                    <w:pStyle w:val="Header"/>
                    <w:tabs>
                      <w:tab w:val="left" w:pos="1410"/>
                      <w:tab w:val="clear" w:pos="4419"/>
                      <w:tab w:val="clear" w:pos="8838"/>
                    </w:tabs>
                    <w:spacing w:line="276" w:lineRule="auto"/>
                    <w:jc w:val="both"/>
                    <w:rPr>
                      <w:rFonts w:asciiTheme="minorHAnsi" w:hAnsiTheme="minorHAnsi" w:cstheme="minorHAnsi"/>
                      <w:b/>
                      <w:sz w:val="16"/>
                      <w:szCs w:val="16"/>
                    </w:rPr>
                  </w:pPr>
                </w:p>
              </w:tc>
            </w:tr>
          </w:tbl>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tc>
      </w:tr>
    </w:tbl>
    <w:p w:rsidR="00621D83" w:rsidRPr="00621D83" w:rsidP="00A779B8">
      <w:pPr>
        <w:spacing w:before="240" w:after="240" w:line="360" w:lineRule="auto"/>
        <w:ind w:firstLine="2268"/>
        <w:jc w:val="both"/>
        <w:rPr>
          <w:rFonts w:asciiTheme="minorHAnsi" w:hAnsiTheme="minorHAnsi" w:cs="Calibri"/>
          <w:sz w:val="4"/>
          <w:szCs w:val="4"/>
        </w:rPr>
      </w:pPr>
    </w:p>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026560">
      <w:pPr>
        <w:autoSpaceDE w:val="0"/>
        <w:autoSpaceDN w:val="0"/>
        <w:adjustRightInd w:val="0"/>
        <w:spacing w:after="120"/>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1604ED">
        <w:rPr>
          <w:rFonts w:asciiTheme="minorHAnsi" w:hAnsiTheme="minorHAnsi" w:cs="Calibri"/>
          <w:b/>
          <w:i/>
          <w:color w:val="000000"/>
          <w:sz w:val="22"/>
          <w:szCs w:val="22"/>
          <w:u w:val="single"/>
        </w:rPr>
        <w:t>Emenda é a correção apresentada a um dispositivo de projeto de lei ou de resolução.</w:t>
      </w:r>
      <w:r w:rsidRPr="00FC62DB">
        <w:rPr>
          <w:rFonts w:asciiTheme="minorHAnsi" w:hAnsiTheme="minorHAnsi" w:cs="Calibri"/>
          <w:i/>
          <w:color w:val="000000"/>
          <w:sz w:val="22"/>
          <w:szCs w:val="22"/>
          <w:u w:val="single"/>
        </w:rPr>
        <w:t xml:space="preserve"> </w:t>
      </w:r>
    </w:p>
    <w:p w:rsidR="00A779B8" w:rsidRPr="00FC140B" w:rsidP="00026560">
      <w:pPr>
        <w:autoSpaceDE w:val="0"/>
        <w:autoSpaceDN w:val="0"/>
        <w:adjustRightInd w:val="0"/>
        <w:spacing w:after="120"/>
        <w:ind w:left="2835"/>
        <w:jc w:val="both"/>
        <w:rPr>
          <w:rFonts w:asciiTheme="minorHAnsi" w:hAnsiTheme="minorHAnsi" w:cs="Calibri"/>
          <w:i/>
          <w:color w:val="000000"/>
          <w:sz w:val="22"/>
          <w:szCs w:val="22"/>
        </w:rPr>
      </w:pPr>
      <w:r w:rsidRPr="00FC140B">
        <w:rPr>
          <w:rFonts w:asciiTheme="minorHAnsi" w:hAnsiTheme="minorHAnsi" w:cs="Calibri"/>
          <w:i/>
          <w:color w:val="000000"/>
          <w:sz w:val="22"/>
          <w:szCs w:val="22"/>
        </w:rPr>
        <w:t xml:space="preserve">§ 1º. Emenda supressiva é a que manda suprimir, em parte ou no todo, o artigo do projeto. </w:t>
      </w:r>
    </w:p>
    <w:p w:rsidR="00A779B8" w:rsidRPr="001604ED" w:rsidP="00026560">
      <w:pPr>
        <w:autoSpaceDE w:val="0"/>
        <w:autoSpaceDN w:val="0"/>
        <w:adjustRightInd w:val="0"/>
        <w:spacing w:after="120"/>
        <w:ind w:left="2835"/>
        <w:jc w:val="both"/>
        <w:rPr>
          <w:rFonts w:asciiTheme="minorHAnsi" w:hAnsiTheme="minorHAnsi" w:cs="Calibri"/>
          <w:b/>
          <w:i/>
          <w:color w:val="000000"/>
          <w:sz w:val="22"/>
          <w:szCs w:val="22"/>
        </w:rPr>
      </w:pPr>
      <w:r w:rsidRPr="001604ED">
        <w:rPr>
          <w:rFonts w:asciiTheme="minorHAnsi" w:hAnsiTheme="minorHAnsi" w:cs="Calibri"/>
          <w:b/>
          <w:i/>
          <w:color w:val="000000"/>
          <w:sz w:val="22"/>
          <w:szCs w:val="22"/>
        </w:rPr>
        <w:t xml:space="preserve">§ 2º. Emenda substitutiva é a que deve ser colocada no lugar do artigo. </w:t>
      </w:r>
    </w:p>
    <w:p w:rsidR="00A779B8" w:rsidRPr="001604ED" w:rsidP="00026560">
      <w:pPr>
        <w:autoSpaceDE w:val="0"/>
        <w:autoSpaceDN w:val="0"/>
        <w:adjustRightInd w:val="0"/>
        <w:spacing w:after="120"/>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3º. Emenda aditiva é a que deve ser acrescentada aos termos do artigo. </w:t>
      </w:r>
    </w:p>
    <w:p w:rsidR="00A779B8" w:rsidRPr="001604ED" w:rsidP="00026560">
      <w:pPr>
        <w:autoSpaceDE w:val="0"/>
        <w:autoSpaceDN w:val="0"/>
        <w:adjustRightInd w:val="0"/>
        <w:spacing w:after="120"/>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4º. Emenda modificativa é a que se refere apenas à redação do artigo, sem alterar a sua substância. </w:t>
      </w:r>
    </w:p>
    <w:p w:rsidR="00A779B8" w:rsidRPr="00FC62DB" w:rsidP="00026560">
      <w:pPr>
        <w:autoSpaceDE w:val="0"/>
        <w:autoSpaceDN w:val="0"/>
        <w:adjustRightInd w:val="0"/>
        <w:spacing w:after="12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026560">
      <w:pPr>
        <w:autoSpaceDE w:val="0"/>
        <w:autoSpaceDN w:val="0"/>
        <w:adjustRightInd w:val="0"/>
        <w:spacing w:after="120"/>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026560">
      <w:pPr>
        <w:autoSpaceDE w:val="0"/>
        <w:autoSpaceDN w:val="0"/>
        <w:adjustRightInd w:val="0"/>
        <w:spacing w:after="12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w:t>
      </w:r>
      <w:r w:rsidRPr="00FC62DB">
        <w:rPr>
          <w:rFonts w:asciiTheme="minorHAnsi" w:hAnsiTheme="minorHAnsi" w:cs="Calibri"/>
          <w:i/>
          <w:color w:val="000000"/>
          <w:sz w:val="22"/>
          <w:szCs w:val="22"/>
        </w:rPr>
        <w:t>emenda estranhos</w:t>
      </w:r>
      <w:r w:rsidRPr="00FC62DB">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FC62DB" w:rsidP="00026560">
      <w:pPr>
        <w:autoSpaceDE w:val="0"/>
        <w:autoSpaceDN w:val="0"/>
        <w:adjustRightInd w:val="0"/>
        <w:spacing w:after="12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A779B8" w:rsidP="00A779B8">
      <w:pPr>
        <w:autoSpaceDE w:val="0"/>
        <w:autoSpaceDN w:val="0"/>
        <w:adjustRightInd w:val="0"/>
        <w:spacing w:before="120"/>
        <w:ind w:left="2835"/>
        <w:jc w:val="both"/>
        <w:rPr>
          <w:rFonts w:asciiTheme="minorHAnsi" w:hAnsiTheme="minorHAnsi" w:cs="Calibri"/>
          <w:i/>
          <w:color w:val="000000"/>
          <w:sz w:val="12"/>
          <w:szCs w:val="12"/>
        </w:rPr>
      </w:pPr>
    </w:p>
    <w:p w:rsidR="00026560" w:rsidP="00026560">
      <w:pPr>
        <w:autoSpaceDE w:val="0"/>
        <w:autoSpaceDN w:val="0"/>
        <w:adjustRightInd w:val="0"/>
        <w:spacing w:before="240" w:after="240" w:line="360" w:lineRule="auto"/>
        <w:ind w:firstLine="2268"/>
        <w:jc w:val="both"/>
        <w:rPr>
          <w:rFonts w:asciiTheme="minorHAnsi" w:hAnsiTheme="minorHAnsi" w:cstheme="minorHAnsi"/>
        </w:rPr>
      </w:pPr>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w:t>
      </w:r>
      <w:r w:rsidRPr="00FF69A7" w:rsidR="00E86B5F">
        <w:rPr>
          <w:rFonts w:asciiTheme="minorHAnsi" w:eastAsiaTheme="minorHAnsi" w:hAnsiTheme="minorHAnsi" w:cstheme="minorHAnsi"/>
          <w:bCs/>
          <w:lang w:eastAsia="en-US"/>
        </w:rPr>
        <w:t>tratando-se de emenda que tem relação direta com a matéria da proposição principal,</w:t>
      </w:r>
      <w:r w:rsidRPr="00FF69A7" w:rsidR="00E86B5F">
        <w:rPr>
          <w:rFonts w:asciiTheme="minorHAnsi" w:hAnsiTheme="minorHAnsi" w:cstheme="minorHAnsi"/>
        </w:rPr>
        <w:t xml:space="preserve"> não havendo óbice na sua tramitação.</w:t>
      </w:r>
    </w:p>
    <w:p w:rsidR="00E86B5F" w:rsidRPr="00026560" w:rsidP="00026560">
      <w:pPr>
        <w:autoSpaceDE w:val="0"/>
        <w:autoSpaceDN w:val="0"/>
        <w:adjustRightInd w:val="0"/>
        <w:spacing w:before="240" w:after="240" w:line="360" w:lineRule="auto"/>
        <w:ind w:firstLine="2268"/>
        <w:jc w:val="both"/>
        <w:rPr>
          <w:rFonts w:asciiTheme="minorHAnsi" w:eastAsiaTheme="minorHAnsi" w:hAnsiTheme="minorHAnsi" w:cstheme="minorHAnsi"/>
          <w:b/>
          <w:bCs/>
          <w:szCs w:val="24"/>
          <w:lang w:eastAsia="en-US"/>
        </w:rPr>
      </w:pPr>
      <w:r w:rsidRPr="00FF69A7">
        <w:rPr>
          <w:rFonts w:asciiTheme="minorHAnsi" w:eastAsiaTheme="minorHAnsi" w:hAnsiTheme="minorHAnsi" w:cstheme="minorHAnsi"/>
          <w:szCs w:val="24"/>
          <w:lang w:eastAsia="en-US"/>
        </w:rPr>
        <w:t>Noutro aspecto, cabe ressaltar que em projetos de iniciativa do E</w:t>
      </w:r>
      <w:r>
        <w:rPr>
          <w:rFonts w:asciiTheme="minorHAnsi" w:eastAsiaTheme="minorHAnsi" w:hAnsiTheme="minorHAnsi" w:cstheme="minorHAnsi"/>
          <w:szCs w:val="24"/>
          <w:lang w:eastAsia="en-US"/>
        </w:rPr>
        <w:t>xecutivo resta pacific</w:t>
      </w:r>
      <w:r w:rsidRPr="00FF69A7">
        <w:rPr>
          <w:rFonts w:asciiTheme="minorHAnsi" w:eastAsiaTheme="minorHAnsi" w:hAnsiTheme="minorHAnsi" w:cstheme="minorHAnsi"/>
          <w:szCs w:val="24"/>
          <w:lang w:eastAsia="en-US"/>
        </w:rPr>
        <w:t>o n</w:t>
      </w:r>
      <w:r>
        <w:rPr>
          <w:rFonts w:asciiTheme="minorHAnsi" w:eastAsiaTheme="minorHAnsi" w:hAnsiTheme="minorHAnsi" w:cstheme="minorHAnsi"/>
          <w:szCs w:val="24"/>
          <w:lang w:eastAsia="en-US"/>
        </w:rPr>
        <w:t>a</w:t>
      </w:r>
      <w:r w:rsidRPr="00FF69A7">
        <w:rPr>
          <w:rFonts w:asciiTheme="minorHAnsi" w:eastAsiaTheme="minorHAnsi" w:hAnsiTheme="minorHAnsi" w:cstheme="minorHAnsi"/>
          <w:szCs w:val="24"/>
          <w:lang w:eastAsia="en-US"/>
        </w:rPr>
        <w:t xml:space="preserve"> Suprema Corte a possibilidade de emendas parlamentares </w:t>
      </w:r>
      <w:r w:rsidRPr="00026560">
        <w:rPr>
          <w:rFonts w:asciiTheme="minorHAnsi" w:eastAsiaTheme="minorHAnsi" w:hAnsiTheme="minorHAnsi" w:cstheme="minorHAnsi"/>
          <w:b/>
          <w:szCs w:val="24"/>
          <w:u w:val="single"/>
          <w:lang w:eastAsia="en-US"/>
        </w:rPr>
        <w:t>desde que guardem pertinência temática com o projeto</w:t>
      </w:r>
      <w:r w:rsidRPr="00026560">
        <w:rPr>
          <w:rFonts w:asciiTheme="minorHAnsi" w:eastAsiaTheme="minorHAnsi" w:hAnsiTheme="minorHAnsi" w:cstheme="minorHAnsi"/>
          <w:b/>
          <w:szCs w:val="24"/>
          <w:lang w:eastAsia="en-US"/>
        </w:rPr>
        <w:t xml:space="preserve"> </w:t>
      </w:r>
      <w:r w:rsidRPr="00026560">
        <w:rPr>
          <w:rFonts w:asciiTheme="minorHAnsi" w:eastAsiaTheme="minorHAnsi" w:hAnsiTheme="minorHAnsi" w:cstheme="minorHAnsi"/>
          <w:b/>
          <w:szCs w:val="24"/>
          <w:u w:val="single"/>
          <w:lang w:eastAsia="en-US"/>
        </w:rPr>
        <w:t>e não importem em aumento de despesas:</w:t>
      </w:r>
    </w:p>
    <w:p w:rsidR="00E86B5F" w:rsidRPr="00FF69A7" w:rsidP="00F50ADA">
      <w:pPr>
        <w:pStyle w:val="Heading3"/>
        <w:shd w:val="clear" w:color="auto" w:fill="FFFFFF"/>
        <w:spacing w:before="0" w:after="180"/>
        <w:ind w:left="2835"/>
        <w:jc w:val="both"/>
        <w:rPr>
          <w:rFonts w:asciiTheme="minorHAnsi" w:eastAsiaTheme="minorHAnsi" w:hAnsiTheme="minorHAnsi" w:cstheme="minorHAnsi"/>
          <w:bCs w:val="0"/>
          <w:i/>
          <w:color w:val="auto"/>
          <w:sz w:val="22"/>
          <w:szCs w:val="22"/>
          <w:lang w:eastAsia="en-US"/>
        </w:rPr>
      </w:pPr>
      <w:r w:rsidRPr="00FF69A7">
        <w:rPr>
          <w:rFonts w:asciiTheme="minorHAnsi" w:eastAsiaTheme="minorHAnsi" w:hAnsiTheme="minorHAnsi" w:cstheme="minorHAnsi"/>
          <w:bCs w:val="0"/>
          <w:i/>
          <w:color w:val="auto"/>
          <w:sz w:val="22"/>
          <w:szCs w:val="22"/>
          <w:lang w:eastAsia="en-US"/>
        </w:rPr>
        <w:t>Ementa</w:t>
      </w:r>
    </w:p>
    <w:p w:rsidR="00E86B5F" w:rsidRPr="00FF69A7" w:rsidP="000E2AF4">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AÇÃO DIRETA DE INCONSTITUCIONALIDADE. ART. 2º DA LEI GAÚCHA N. 11.639/2001. CADASTRO DE CONTRATAÇÕES TEMPORÁRIAS. CRIAÇÃO DE PROCEDIMENTOS </w:t>
      </w:r>
      <w:r w:rsidRPr="00FF69A7">
        <w:rPr>
          <w:rFonts w:asciiTheme="minorHAnsi" w:eastAsiaTheme="minorHAnsi" w:hAnsiTheme="minorHAnsi" w:cstheme="minorHAnsi"/>
          <w:i/>
          <w:sz w:val="22"/>
          <w:szCs w:val="22"/>
          <w:lang w:eastAsia="en-US"/>
        </w:rPr>
        <w:t>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FF69A7" w:rsidP="000E2AF4">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1. </w:t>
      </w:r>
      <w:r w:rsidRPr="00FF69A7">
        <w:rPr>
          <w:rFonts w:asciiTheme="minorHAnsi" w:eastAsiaTheme="minorHAnsi" w:hAnsiTheme="minorHAnsi" w:cstheme="minorHAns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FF69A7" w:rsidP="000E2AF4">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FF69A7" w:rsidP="000E2AF4">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3. Ação direta de inconstitucionalidade julgada improcedente.</w:t>
      </w:r>
    </w:p>
    <w:p w:rsidR="00E86B5F" w:rsidP="000E2AF4">
      <w:pPr>
        <w:shd w:val="clear" w:color="auto" w:fill="FFFFFF"/>
        <w:spacing w:before="120" w:after="120"/>
        <w:ind w:left="2835"/>
        <w:jc w:val="both"/>
        <w:rPr>
          <w:rFonts w:asciiTheme="minorHAnsi" w:hAnsiTheme="minorHAnsi" w:cstheme="minorHAnsi"/>
          <w:i/>
        </w:rPr>
      </w:pPr>
      <w:r w:rsidRPr="00FF69A7">
        <w:rPr>
          <w:rFonts w:asciiTheme="minorHAnsi" w:hAnsiTheme="minorHAnsi" w:cstheme="minorHAnsi"/>
          <w:i/>
        </w:rPr>
        <w:t>(STF. ADI 2583 RS. Plenário, 01.08.2011</w:t>
      </w:r>
      <w:r w:rsidRPr="00FF69A7">
        <w:rPr>
          <w:rFonts w:asciiTheme="minorHAnsi" w:hAnsiTheme="minorHAnsi" w:cstheme="minorHAnsi"/>
          <w:i/>
        </w:rPr>
        <w:t>)</w:t>
      </w:r>
    </w:p>
    <w:p w:rsidR="00E86B5F" w:rsidRPr="00A87ED2" w:rsidP="00E86B5F">
      <w:pPr>
        <w:shd w:val="clear" w:color="auto" w:fill="FFFFFF"/>
        <w:ind w:left="2268"/>
        <w:jc w:val="both"/>
        <w:rPr>
          <w:rFonts w:asciiTheme="minorHAnsi" w:hAnsiTheme="minorHAnsi" w:cstheme="minorHAnsi"/>
          <w:i/>
          <w:sz w:val="12"/>
          <w:szCs w:val="12"/>
        </w:rPr>
      </w:pPr>
    </w:p>
    <w:p w:rsidR="00E86B5F" w:rsidRPr="00EB73E9" w:rsidP="00F50ADA">
      <w:pPr>
        <w:spacing w:after="240" w:line="360" w:lineRule="auto"/>
        <w:ind w:firstLine="2268"/>
        <w:jc w:val="both"/>
        <w:rPr>
          <w:rFonts w:asciiTheme="minorHAnsi" w:hAnsiTheme="minorHAnsi" w:cstheme="minorHAnsi"/>
          <w:szCs w:val="24"/>
        </w:rPr>
      </w:pPr>
      <w:r w:rsidRPr="00EB73E9">
        <w:rPr>
          <w:rFonts w:asciiTheme="minorHAnsi" w:hAnsiTheme="minorHAnsi" w:cstheme="minorHAnsi"/>
          <w:szCs w:val="24"/>
        </w:rPr>
        <w:t>No mesmo sentido o Tribunal de Justiça do Estado de São Paulo:</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PARÂMETRO DE CONSTITUCIONALIDADE. Compatibilidade entre a norma </w:t>
      </w:r>
      <w:r w:rsidRPr="00A87ED2">
        <w:rPr>
          <w:rFonts w:asciiTheme="minorHAnsi" w:hAnsiTheme="minorHAnsi" w:cstheme="minorHAnsi"/>
          <w:i/>
          <w:sz w:val="22"/>
          <w:szCs w:val="22"/>
        </w:rPr>
        <w:t>impugnada e dispositivos da Lei Orgânica Municipal e do Regimento Interno da Câmara</w:t>
      </w:r>
      <w:r w:rsidRPr="00A87ED2">
        <w:rPr>
          <w:rFonts w:asciiTheme="minorHAnsi" w:hAnsiTheme="minorHAnsi" w:cstheme="minorHAnsi"/>
          <w:i/>
          <w:sz w:val="22"/>
          <w:szCs w:val="22"/>
        </w:rPr>
        <w:t xml:space="preserve">. Inadmissibilidade. Aplicação dos artigos 125, § 2º, da CF, e 74, </w:t>
      </w:r>
      <w:r w:rsidRPr="00A87ED2">
        <w:rPr>
          <w:rFonts w:asciiTheme="minorHAnsi" w:hAnsiTheme="minorHAnsi" w:cstheme="minorHAnsi"/>
          <w:i/>
          <w:sz w:val="22"/>
          <w:szCs w:val="22"/>
        </w:rPr>
        <w:t>VI</w:t>
      </w:r>
      <w:r w:rsidRPr="00A87ED2">
        <w:rPr>
          <w:rFonts w:asciiTheme="minorHAnsi" w:hAnsiTheme="minorHAnsi" w:cstheme="minorHAnsi"/>
          <w:i/>
          <w:sz w:val="22"/>
          <w:szCs w:val="22"/>
        </w:rPr>
        <w:t xml:space="preserve">, da CE. Precedentes. Não conheço da ação quanto aos parâmetros apontados LOM e Regimento Interno da Câmara. </w:t>
      </w:r>
    </w:p>
    <w:p w:rsidR="000E2AF4" w:rsidP="00026560">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AÇÃO DIRETA DE INCONSTITUCIONALIDADE Art. 1º da LC nº 2.064, de 04.03.20, do Município de </w:t>
      </w:r>
      <w:r w:rsidRPr="00A87ED2">
        <w:rPr>
          <w:rFonts w:asciiTheme="minorHAnsi" w:hAnsiTheme="minorHAnsi" w:cstheme="minorHAnsi"/>
          <w:i/>
          <w:sz w:val="22"/>
          <w:szCs w:val="22"/>
        </w:rPr>
        <w:t>Icém</w:t>
      </w:r>
      <w:r w:rsidRPr="00A87ED2">
        <w:rPr>
          <w:rFonts w:asciiTheme="minorHAnsi" w:hAnsiTheme="minorHAnsi" w:cstheme="minorHAns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A87ED2">
        <w:rPr>
          <w:rFonts w:asciiTheme="minorHAnsi" w:hAnsiTheme="minorHAnsi" w:cstheme="minorHAnsi"/>
          <w:b/>
          <w:i/>
          <w:sz w:val="22"/>
          <w:szCs w:val="22"/>
        </w:rPr>
        <w:t xml:space="preserve">Emenda parlamentar. </w:t>
      </w:r>
      <w:r w:rsidRPr="00A87ED2">
        <w:rPr>
          <w:rFonts w:asciiTheme="minorHAnsi" w:hAnsiTheme="minorHAnsi" w:cstheme="minorHAnsi"/>
          <w:b/>
          <w:i/>
          <w:sz w:val="22"/>
          <w:szCs w:val="22"/>
        </w:rPr>
        <w:t>Possível a realização de emendas parlamentares em projetos de lei de iniciativa reservada ao Poder Executivo, desde que (i) mantenham pertinência temática com o objeto do projeto de lei e (</w:t>
      </w:r>
      <w:r w:rsidRPr="00A87ED2">
        <w:rPr>
          <w:rFonts w:asciiTheme="minorHAnsi" w:hAnsiTheme="minorHAnsi" w:cstheme="minorHAnsi"/>
          <w:b/>
          <w:i/>
          <w:sz w:val="22"/>
          <w:szCs w:val="22"/>
        </w:rPr>
        <w:t>ii</w:t>
      </w:r>
      <w:r w:rsidRPr="00A87ED2">
        <w:rPr>
          <w:rFonts w:asciiTheme="minorHAnsi" w:hAnsiTheme="minorHAnsi" w:cstheme="minorHAnsi"/>
          <w:b/>
          <w:i/>
          <w:sz w:val="22"/>
          <w:szCs w:val="22"/>
        </w:rPr>
        <w:t>) não acarretem aumento de despesa.</w:t>
      </w:r>
      <w:r w:rsidRPr="00A87ED2">
        <w:rPr>
          <w:rFonts w:asciiTheme="minorHAnsi" w:hAnsiTheme="minorHAnsi" w:cstheme="minorHAns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A87ED2">
        <w:rPr>
          <w:rFonts w:asciiTheme="minorHAnsi" w:hAnsiTheme="minorHAnsi" w:cstheme="minorHAnsi"/>
          <w:i/>
          <w:sz w:val="22"/>
          <w:szCs w:val="22"/>
        </w:rPr>
        <w:t>são</w:t>
      </w:r>
      <w:r w:rsidRPr="00A87ED2">
        <w:rPr>
          <w:rFonts w:asciiTheme="minorHAnsi" w:hAnsiTheme="minorHAnsi" w:cstheme="minorHAnsi"/>
          <w:i/>
          <w:sz w:val="22"/>
          <w:szCs w:val="22"/>
        </w:rPr>
        <w:t xml:space="preserve"> decorrência lógica do teor da emenda. Princípio da isonomia. Ausente </w:t>
      </w:r>
      <w:r w:rsidRPr="00A87ED2">
        <w:rPr>
          <w:rFonts w:asciiTheme="minorHAnsi" w:hAnsiTheme="minorHAnsi" w:cstheme="minorHAnsi"/>
          <w:i/>
          <w:sz w:val="22"/>
          <w:szCs w:val="22"/>
        </w:rPr>
        <w:t>a</w:t>
      </w:r>
      <w:r w:rsidRPr="00A87ED2">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A87ED2">
        <w:rPr>
          <w:rFonts w:asciiTheme="minorHAnsi" w:hAnsiTheme="minorHAnsi" w:cstheme="minorHAnsi"/>
          <w:i/>
          <w:sz w:val="22"/>
          <w:szCs w:val="22"/>
        </w:rPr>
        <w:t>Eg</w:t>
      </w:r>
      <w:r w:rsidRPr="00A87ED2">
        <w:rPr>
          <w:rFonts w:asciiTheme="minorHAnsi" w:hAnsiTheme="minorHAnsi" w:cstheme="minorHAns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00026560">
        <w:rPr>
          <w:rFonts w:asciiTheme="minorHAnsi" w:hAnsiTheme="minorHAnsi" w:cstheme="minorHAnsi"/>
          <w:i/>
          <w:sz w:val="22"/>
          <w:szCs w:val="22"/>
        </w:rPr>
        <w:t xml:space="preserve"> </w:t>
      </w:r>
    </w:p>
    <w:p w:rsidR="00E86B5F" w:rsidP="00026560">
      <w:pPr>
        <w:spacing w:after="240"/>
        <w:ind w:left="2835"/>
        <w:jc w:val="both"/>
        <w:rPr>
          <w:rFonts w:asciiTheme="minorHAnsi" w:hAnsiTheme="minorHAnsi" w:cstheme="minorHAnsi"/>
          <w:i/>
          <w:sz w:val="22"/>
          <w:szCs w:val="22"/>
        </w:rPr>
      </w:pPr>
      <w:r w:rsidRPr="00EB73E9">
        <w:rPr>
          <w:rFonts w:asciiTheme="minorHAnsi" w:hAnsiTheme="minorHAnsi" w:cstheme="minorHAnsi"/>
          <w:i/>
          <w:sz w:val="22"/>
          <w:szCs w:val="22"/>
        </w:rPr>
        <w:t>(TJSP. Adin nº 2044212-77.2020.8.26.0000</w:t>
      </w:r>
      <w:r>
        <w:rPr>
          <w:rFonts w:asciiTheme="minorHAnsi" w:hAnsiTheme="minorHAnsi" w:cstheme="minorHAnsi"/>
          <w:i/>
          <w:sz w:val="22"/>
          <w:szCs w:val="22"/>
        </w:rPr>
        <w:t>. Rel. Des. Evaristo dos Santos. Data de Julgamento: 12/08/2020</w:t>
      </w:r>
      <w:r w:rsidRPr="00EB73E9">
        <w:rPr>
          <w:rFonts w:asciiTheme="minorHAnsi" w:hAnsiTheme="minorHAnsi" w:cstheme="minorHAnsi"/>
          <w:i/>
          <w:sz w:val="22"/>
          <w:szCs w:val="22"/>
        </w:rPr>
        <w:t>)</w:t>
      </w:r>
    </w:p>
    <w:p w:rsidR="00F50ADA" w:rsidP="00E86B5F">
      <w:pPr>
        <w:spacing w:after="240" w:line="240" w:lineRule="auto"/>
        <w:ind w:left="2268"/>
        <w:jc w:val="both"/>
        <w:rPr>
          <w:rFonts w:asciiTheme="minorHAnsi" w:hAnsiTheme="minorHAnsi" w:cstheme="minorHAnsi"/>
          <w:i/>
          <w:sz w:val="4"/>
          <w:szCs w:val="4"/>
        </w:rPr>
      </w:pPr>
    </w:p>
    <w:p w:rsidR="00074468" w:rsidP="00074468">
      <w:pPr>
        <w:pStyle w:val="BodyText"/>
        <w:spacing w:after="240" w:line="360" w:lineRule="auto"/>
        <w:ind w:firstLine="2268"/>
        <w:jc w:val="both"/>
        <w:rPr>
          <w:rFonts w:asciiTheme="minorHAnsi" w:hAnsiTheme="minorHAnsi" w:cstheme="minorHAnsi"/>
          <w:szCs w:val="24"/>
          <w:u w:val="single"/>
        </w:rPr>
      </w:pPr>
      <w:r w:rsidRPr="00DF2C1A">
        <w:rPr>
          <w:rFonts w:asciiTheme="minorHAnsi" w:hAnsiTheme="minorHAnsi" w:cstheme="minorHAnsi"/>
          <w:szCs w:val="24"/>
        </w:rPr>
        <w:t xml:space="preserve">Por fim, quanto ao aspecto gramatical e lógico o projeto </w:t>
      </w:r>
      <w:r>
        <w:rPr>
          <w:rFonts w:asciiTheme="minorHAnsi" w:hAnsiTheme="minorHAnsi" w:cstheme="minorHAnsi"/>
          <w:szCs w:val="24"/>
        </w:rPr>
        <w:t>em atenção aos</w:t>
      </w:r>
      <w:r w:rsidRPr="00DF2C1A">
        <w:rPr>
          <w:rFonts w:asciiTheme="minorHAnsi" w:hAnsiTheme="minorHAnsi" w:cstheme="minorHAnsi"/>
          <w:szCs w:val="24"/>
        </w:rPr>
        <w:t xml:space="preserve"> preceitos da Lei Complementar nº 95 de 1998 que dispõe sobre a elaboração, redação, alteração e consolidação das leis, conforme determina o parágrafo único do art. 59 da Constituição </w:t>
      </w:r>
      <w:r>
        <w:rPr>
          <w:rFonts w:asciiTheme="minorHAnsi" w:hAnsiTheme="minorHAnsi" w:cstheme="minorHAnsi"/>
          <w:szCs w:val="24"/>
        </w:rPr>
        <w:t>Federal</w:t>
      </w:r>
      <w:r w:rsidRPr="00001667">
        <w:rPr>
          <w:rFonts w:asciiTheme="minorHAnsi" w:hAnsiTheme="minorHAnsi" w:cstheme="minorHAnsi"/>
          <w:szCs w:val="24"/>
          <w:u w:val="single"/>
        </w:rPr>
        <w:t xml:space="preserve">, </w:t>
      </w:r>
      <w:r w:rsidRPr="00074468">
        <w:rPr>
          <w:rFonts w:asciiTheme="minorHAnsi" w:hAnsiTheme="minorHAnsi" w:cstheme="minorHAnsi"/>
          <w:szCs w:val="24"/>
          <w:u w:val="single"/>
        </w:rPr>
        <w:t>cumpre atentar para a necessidade de correção de equívoco de digitação na expressão “</w:t>
      </w:r>
      <w:r w:rsidRPr="00074468">
        <w:rPr>
          <w:rFonts w:asciiTheme="minorHAnsi" w:hAnsiTheme="minorHAnsi" w:cstheme="minorHAnsi"/>
          <w:i/>
          <w:szCs w:val="24"/>
          <w:u w:val="single"/>
        </w:rPr>
        <w:t>quadros efeitos</w:t>
      </w:r>
      <w:r w:rsidRPr="00074468">
        <w:rPr>
          <w:rFonts w:asciiTheme="minorHAnsi" w:hAnsiTheme="minorHAnsi" w:cstheme="minorHAnsi"/>
          <w:szCs w:val="24"/>
          <w:u w:val="single"/>
        </w:rPr>
        <w:t>” para “</w:t>
      </w:r>
      <w:r w:rsidRPr="00074468">
        <w:rPr>
          <w:rFonts w:asciiTheme="minorHAnsi" w:hAnsiTheme="minorHAnsi" w:cstheme="minorHAnsi"/>
          <w:i/>
          <w:szCs w:val="24"/>
          <w:u w:val="single"/>
        </w:rPr>
        <w:t>quadros efetivos</w:t>
      </w:r>
      <w:r w:rsidR="008E128F">
        <w:rPr>
          <w:rFonts w:asciiTheme="minorHAnsi" w:hAnsiTheme="minorHAnsi" w:cstheme="minorHAnsi"/>
          <w:szCs w:val="24"/>
          <w:u w:val="single"/>
        </w:rPr>
        <w:t>”</w:t>
      </w:r>
      <w:r w:rsidRPr="00074468">
        <w:rPr>
          <w:rFonts w:asciiTheme="minorHAnsi" w:hAnsiTheme="minorHAnsi" w:cstheme="minorHAnsi"/>
          <w:szCs w:val="24"/>
          <w:u w:val="single"/>
        </w:rPr>
        <w:t>.</w:t>
      </w:r>
    </w:p>
    <w:p w:rsidR="00F50ADA" w:rsidRPr="00074468" w:rsidP="00074468">
      <w:pPr>
        <w:pStyle w:val="BodyText"/>
        <w:spacing w:after="240" w:line="360" w:lineRule="auto"/>
        <w:ind w:firstLine="2268"/>
        <w:jc w:val="both"/>
        <w:rPr>
          <w:rFonts w:cs="Arial"/>
          <w:bCs/>
          <w:snapToGrid w:val="0"/>
          <w:color w:val="000000"/>
          <w:szCs w:val="26"/>
        </w:rPr>
      </w:pPr>
      <w:r w:rsidRPr="00F50ADA">
        <w:rPr>
          <w:rFonts w:asciiTheme="minorHAnsi" w:hAnsiTheme="minorHAnsi" w:cstheme="minorHAnsi"/>
          <w:szCs w:val="24"/>
        </w:rPr>
        <w:t>Ante o exposto, conclui-se pela legalidade e constitucionalidade do projeto de emenda</w:t>
      </w:r>
      <w:r w:rsidR="008E128F">
        <w:rPr>
          <w:rFonts w:asciiTheme="minorHAnsi" w:hAnsiTheme="minorHAnsi" w:cstheme="minorHAnsi"/>
          <w:szCs w:val="24"/>
        </w:rPr>
        <w:t>, atentando para observação acima</w:t>
      </w:r>
      <w:r w:rsidRPr="00FF69A7">
        <w:rPr>
          <w:rFonts w:asciiTheme="minorHAnsi" w:hAnsiTheme="minorHAnsi" w:cstheme="minorHAnsi"/>
          <w:szCs w:val="24"/>
        </w:rPr>
        <w:t>.</w:t>
      </w:r>
      <w:r>
        <w:rPr>
          <w:rFonts w:asciiTheme="minorHAnsi" w:hAnsiTheme="minorHAnsi" w:cstheme="minorHAnsi"/>
          <w:szCs w:val="24"/>
        </w:rPr>
        <w:t xml:space="preserve"> </w:t>
      </w:r>
      <w:r w:rsidRPr="00076B1A" w:rsidR="00A779B8">
        <w:rPr>
          <w:rFonts w:asciiTheme="minorHAnsi" w:hAnsiTheme="minorHAnsi" w:cs="Calibri"/>
          <w:szCs w:val="24"/>
        </w:rPr>
        <w:t>S</w:t>
      </w:r>
      <w:r w:rsidRPr="00076B1A" w:rsidR="00A779B8">
        <w:rPr>
          <w:rFonts w:ascii="Calibri" w:hAnsi="Calibri" w:cstheme="minorHAnsi"/>
          <w:szCs w:val="24"/>
        </w:rPr>
        <w:t>obre o mérito, manifestar-se-á o Soberano Plenário.</w:t>
      </w:r>
    </w:p>
    <w:p w:rsidR="00F50ADA" w:rsidP="00026560">
      <w:pPr>
        <w:autoSpaceDE w:val="0"/>
        <w:autoSpaceDN w:val="0"/>
        <w:adjustRightInd w:val="0"/>
        <w:spacing w:before="120" w:after="120" w:line="360" w:lineRule="auto"/>
        <w:ind w:firstLine="2268"/>
        <w:jc w:val="both"/>
        <w:rPr>
          <w:rFonts w:ascii="Calibri" w:hAnsi="Calibri" w:cstheme="minorHAnsi"/>
          <w:szCs w:val="24"/>
        </w:rPr>
      </w:pPr>
      <w:r>
        <w:rPr>
          <w:rFonts w:ascii="Calibri" w:hAnsi="Calibri" w:cs="Calibri"/>
          <w:szCs w:val="24"/>
        </w:rPr>
        <w:t>É o parecer, a superior consideração.</w:t>
      </w:r>
    </w:p>
    <w:p w:rsidR="00A779B8" w:rsidP="00026560">
      <w:pPr>
        <w:autoSpaceDE w:val="0"/>
        <w:autoSpaceDN w:val="0"/>
        <w:adjustRightInd w:val="0"/>
        <w:spacing w:before="120" w:after="120" w:line="360" w:lineRule="auto"/>
        <w:ind w:firstLine="2268"/>
        <w:jc w:val="both"/>
        <w:rPr>
          <w:rFonts w:ascii="Calibri" w:hAnsi="Calibri" w:cs="Calibri"/>
          <w:szCs w:val="24"/>
        </w:rPr>
      </w:pPr>
      <w:r w:rsidRPr="003A7521">
        <w:rPr>
          <w:rFonts w:ascii="Calibri" w:hAnsi="Calibri" w:cs="Calibri"/>
          <w:szCs w:val="24"/>
        </w:rPr>
        <w:t>Procuradoria</w:t>
      </w:r>
      <w:r>
        <w:rPr>
          <w:rFonts w:ascii="Calibri" w:hAnsi="Calibri" w:cs="Calibri"/>
          <w:szCs w:val="24"/>
        </w:rPr>
        <w:t xml:space="preserve">, </w:t>
      </w:r>
      <w:r w:rsidR="0023693B">
        <w:rPr>
          <w:rFonts w:ascii="Calibri" w:hAnsi="Calibri" w:cs="Calibri"/>
          <w:szCs w:val="24"/>
        </w:rPr>
        <w:t>02</w:t>
      </w:r>
      <w:r w:rsidRPr="003A7521">
        <w:rPr>
          <w:rFonts w:ascii="Calibri" w:hAnsi="Calibri" w:cs="Calibri"/>
          <w:szCs w:val="24"/>
        </w:rPr>
        <w:t xml:space="preserve"> de </w:t>
      </w:r>
      <w:r w:rsidR="0023693B">
        <w:rPr>
          <w:rFonts w:ascii="Calibri" w:hAnsi="Calibri" w:cs="Calibri"/>
          <w:szCs w:val="24"/>
        </w:rPr>
        <w:t>setembro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026560" w:rsidP="00026560">
      <w:pPr>
        <w:autoSpaceDE w:val="0"/>
        <w:autoSpaceDN w:val="0"/>
        <w:adjustRightInd w:val="0"/>
        <w:spacing w:before="120" w:after="120" w:line="360" w:lineRule="auto"/>
        <w:ind w:firstLine="2268"/>
        <w:jc w:val="both"/>
        <w:rPr>
          <w:rFonts w:ascii="Calibri" w:hAnsi="Calibri" w:cs="Calibri"/>
          <w:sz w:val="12"/>
          <w:szCs w:val="12"/>
        </w:rPr>
      </w:pPr>
    </w:p>
    <w:p w:rsidR="00026560" w:rsidRPr="00026560" w:rsidP="00026560">
      <w:pPr>
        <w:autoSpaceDE w:val="0"/>
        <w:autoSpaceDN w:val="0"/>
        <w:adjustRightInd w:val="0"/>
        <w:spacing w:before="120" w:after="120" w:line="360" w:lineRule="auto"/>
        <w:ind w:firstLine="2268"/>
        <w:jc w:val="both"/>
        <w:rPr>
          <w:rFonts w:ascii="Calibri" w:hAnsi="Calibri" w:cs="Calibri"/>
          <w:sz w:val="12"/>
          <w:szCs w:val="12"/>
        </w:rPr>
      </w:pPr>
    </w:p>
    <w:p w:rsidR="00A779B8" w:rsidRPr="003A7521" w:rsidP="00F50ADA">
      <w:pPr>
        <w:pStyle w:val="BodyText"/>
        <w:spacing w:after="0" w:line="240" w:lineRule="auto"/>
        <w:jc w:val="center"/>
        <w:rPr>
          <w:rFonts w:ascii="Calibri" w:hAnsi="Calibri" w:cs="Calibri"/>
          <w:b/>
          <w:szCs w:val="24"/>
        </w:rPr>
      </w:pPr>
      <w:r>
        <w:rPr>
          <w:rFonts w:ascii="Calibri" w:hAnsi="Calibri" w:cs="Calibri"/>
          <w:b/>
          <w:szCs w:val="24"/>
        </w:rPr>
        <w:t>Rosemeire de Souza Cardoso Barbosa</w:t>
      </w:r>
    </w:p>
    <w:p w:rsidR="00A779B8" w:rsidP="00F50ADA">
      <w:pPr>
        <w:pStyle w:val="BodyText"/>
        <w:spacing w:after="0" w:line="240" w:lineRule="auto"/>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766226" w:rsidP="00F50ADA">
      <w:pPr>
        <w:pStyle w:val="BodyText"/>
        <w:spacing w:after="0" w:line="240" w:lineRule="auto"/>
        <w:jc w:val="center"/>
      </w:pPr>
      <w:r>
        <w:rPr>
          <w:rFonts w:ascii="Calibri" w:hAnsi="Calibri" w:cs="Calibri"/>
          <w:szCs w:val="24"/>
        </w:rPr>
        <w:t>Assinatura Eletrônica</w:t>
      </w:r>
    </w:p>
    <w:p w:rsidR="00766226" w:rsidP="00F50ADA">
      <w:pPr>
        <w:pStyle w:val="BodyText"/>
        <w:spacing w:after="0" w:line="240" w:lineRule="auto"/>
        <w:jc w:val="center"/>
      </w:pP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766226" w:rsidP="00E86B5F">
            <w:pPr>
              <w:pStyle w:val="Footer"/>
              <w:jc w:val="right"/>
              <w:rPr>
                <w:sz w:val="18"/>
                <w:lang w:val="pt-PT"/>
              </w:rPr>
            </w:pPr>
          </w:p>
          <w:p w:rsidR="00766226" w:rsidP="00E86B5F">
            <w:pPr>
              <w:pStyle w:val="Footer"/>
              <w:ind w:right="-313"/>
              <w:jc w:val="center"/>
              <w:rPr>
                <w:sz w:val="18"/>
                <w:lang w:val="pt-PT"/>
              </w:rPr>
            </w:pPr>
            <w:r>
              <w:rPr>
                <w:sz w:val="18"/>
                <w:lang w:val="pt-PT"/>
              </w:rPr>
              <w:t>________________________________________________________________________________________</w:t>
            </w:r>
          </w:p>
          <w:p w:rsidR="00766226" w:rsidP="00E86B5F">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766226"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766226"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C5BCF">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C5BCF">
              <w:rPr>
                <w:b/>
                <w:bCs/>
                <w:noProof/>
                <w:sz w:val="18"/>
                <w:szCs w:val="18"/>
              </w:rPr>
              <w:t>7</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226" w:rsidP="00E86B5F">
    <w:pPr>
      <w:pStyle w:val="Header"/>
      <w:jc w:val="center"/>
      <w:rPr>
        <w:b/>
        <w:sz w:val="26"/>
        <w:lang w:val="pt-PT"/>
      </w:rPr>
    </w:pPr>
  </w:p>
  <w:p w:rsidR="00766226"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6226" w:rsidP="00E86B5F">
                          <w:r>
                            <w:rPr>
                              <w:noProof/>
                            </w:rPr>
                            <w:drawing>
                              <wp:inline distT="0" distB="0" distL="0" distR="0">
                                <wp:extent cx="876300" cy="850900"/>
                                <wp:effectExtent l="19050" t="0" r="0" b="0"/>
                                <wp:docPr id="158646228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3833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2387932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66226"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63691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3639813" r:id="rId4"/>
                    </w:object>
                  </w:p>
                </w:txbxContent>
              </v:textbox>
              <w10:wrap type="square"/>
            </v:shape>
          </w:pict>
        </mc:Fallback>
      </mc:AlternateContent>
    </w:r>
  </w:p>
  <w:p w:rsidR="00766226" w:rsidP="00E86B5F">
    <w:pPr>
      <w:pStyle w:val="Header"/>
      <w:jc w:val="center"/>
      <w:rPr>
        <w:b/>
        <w:sz w:val="28"/>
        <w:lang w:val="pt-PT"/>
      </w:rPr>
    </w:pPr>
    <w:r>
      <w:rPr>
        <w:b/>
        <w:sz w:val="28"/>
        <w:lang w:val="pt-PT"/>
      </w:rPr>
      <w:t>CÂMARA MUNICIPAL DE VALINHOS</w:t>
    </w:r>
  </w:p>
  <w:p w:rsidR="00766226"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1667"/>
    <w:rsid w:val="0001147D"/>
    <w:rsid w:val="00026560"/>
    <w:rsid w:val="0006682F"/>
    <w:rsid w:val="00074468"/>
    <w:rsid w:val="00076B1A"/>
    <w:rsid w:val="00081211"/>
    <w:rsid w:val="000E2AF4"/>
    <w:rsid w:val="000F259D"/>
    <w:rsid w:val="001604ED"/>
    <w:rsid w:val="001B125C"/>
    <w:rsid w:val="00230814"/>
    <w:rsid w:val="0023693B"/>
    <w:rsid w:val="00336C41"/>
    <w:rsid w:val="003A7521"/>
    <w:rsid w:val="005723D1"/>
    <w:rsid w:val="005945EE"/>
    <w:rsid w:val="00621D83"/>
    <w:rsid w:val="00646BC4"/>
    <w:rsid w:val="00724E61"/>
    <w:rsid w:val="00766226"/>
    <w:rsid w:val="008E128F"/>
    <w:rsid w:val="009A07D0"/>
    <w:rsid w:val="00A56E27"/>
    <w:rsid w:val="00A779B8"/>
    <w:rsid w:val="00A87ED2"/>
    <w:rsid w:val="00A94458"/>
    <w:rsid w:val="00AD055D"/>
    <w:rsid w:val="00AD09BD"/>
    <w:rsid w:val="00BC5BCF"/>
    <w:rsid w:val="00C669D7"/>
    <w:rsid w:val="00D6369B"/>
    <w:rsid w:val="00D75ECD"/>
    <w:rsid w:val="00DA5745"/>
    <w:rsid w:val="00DF2C1A"/>
    <w:rsid w:val="00E86B5F"/>
    <w:rsid w:val="00EB73E9"/>
    <w:rsid w:val="00F50ADA"/>
    <w:rsid w:val="00F53BEF"/>
    <w:rsid w:val="00FC140B"/>
    <w:rsid w:val="00FC62DB"/>
    <w:rsid w:val="00FF69A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1461</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dcterms:created xsi:type="dcterms:W3CDTF">2022-09-02T18:20:00Z</dcterms:created>
  <dcterms:modified xsi:type="dcterms:W3CDTF">2022-09-05T13:36:00Z</dcterms:modified>
</cp:coreProperties>
</file>