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D36612" w:rsidP="00FB0318" w14:paraId="3612D339" w14:textId="39ED392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36612">
        <w:rPr>
          <w:rFonts w:asciiTheme="minorHAnsi" w:hAnsiTheme="minorHAnsi" w:cstheme="minorHAnsi"/>
          <w:b/>
          <w:color w:val="auto"/>
        </w:rPr>
        <w:t>Parecer J</w:t>
      </w:r>
      <w:r w:rsidRPr="00D36612" w:rsidR="00E503EA">
        <w:rPr>
          <w:rFonts w:asciiTheme="minorHAnsi" w:hAnsiTheme="minorHAnsi" w:cstheme="minorHAnsi"/>
          <w:b/>
          <w:color w:val="auto"/>
        </w:rPr>
        <w:t>urídico</w:t>
      </w:r>
      <w:r w:rsidRPr="00D36612">
        <w:rPr>
          <w:rFonts w:asciiTheme="minorHAnsi" w:hAnsiTheme="minorHAnsi" w:cstheme="minorHAnsi"/>
          <w:b/>
          <w:color w:val="auto"/>
        </w:rPr>
        <w:t xml:space="preserve"> nº </w:t>
      </w:r>
      <w:r w:rsidR="008D545A">
        <w:rPr>
          <w:rFonts w:asciiTheme="minorHAnsi" w:hAnsiTheme="minorHAnsi" w:cstheme="minorHAnsi"/>
          <w:b/>
          <w:color w:val="auto"/>
        </w:rPr>
        <w:t>30</w:t>
      </w:r>
      <w:r w:rsidR="00B4272B">
        <w:rPr>
          <w:rFonts w:asciiTheme="minorHAnsi" w:hAnsiTheme="minorHAnsi" w:cstheme="minorHAnsi"/>
          <w:b/>
          <w:color w:val="auto"/>
        </w:rPr>
        <w:t>1</w:t>
      </w:r>
      <w:r w:rsidRPr="00D36612" w:rsidR="00582F11">
        <w:rPr>
          <w:rFonts w:asciiTheme="minorHAnsi" w:hAnsiTheme="minorHAnsi" w:cstheme="minorHAnsi"/>
          <w:b/>
          <w:color w:val="auto"/>
        </w:rPr>
        <w:t>/</w:t>
      </w:r>
      <w:r w:rsidRPr="00D36612">
        <w:rPr>
          <w:rFonts w:asciiTheme="minorHAnsi" w:hAnsiTheme="minorHAnsi" w:cstheme="minorHAnsi"/>
          <w:b/>
          <w:color w:val="auto"/>
        </w:rPr>
        <w:t>20</w:t>
      </w:r>
      <w:r w:rsidRPr="00D36612" w:rsidR="00C65153">
        <w:rPr>
          <w:rFonts w:asciiTheme="minorHAnsi" w:hAnsiTheme="minorHAnsi" w:cstheme="minorHAnsi"/>
          <w:b/>
          <w:color w:val="auto"/>
        </w:rPr>
        <w:t>2</w:t>
      </w:r>
      <w:r w:rsidRPr="00D36612" w:rsidR="00840756">
        <w:rPr>
          <w:rFonts w:asciiTheme="minorHAnsi" w:hAnsiTheme="minorHAnsi" w:cstheme="minorHAnsi"/>
          <w:b/>
          <w:color w:val="auto"/>
        </w:rPr>
        <w:t>2</w:t>
      </w:r>
      <w:r w:rsidRPr="00D36612" w:rsidR="00055A36">
        <w:rPr>
          <w:rFonts w:asciiTheme="minorHAnsi" w:hAnsiTheme="minorHAnsi" w:cstheme="minorHAnsi"/>
          <w:b/>
          <w:color w:val="auto"/>
        </w:rPr>
        <w:t xml:space="preserve"> </w:t>
      </w:r>
    </w:p>
    <w:p w:rsidR="00B4272B" w:rsidRPr="00B4272B" w:rsidP="003B55E5" w14:paraId="32F09B9F" w14:textId="6C3FAE9A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36612">
        <w:rPr>
          <w:rFonts w:cstheme="minorHAnsi"/>
          <w:b/>
          <w:bCs/>
          <w:sz w:val="24"/>
          <w:szCs w:val="24"/>
        </w:rPr>
        <w:t xml:space="preserve">Assunto: Projeto de Lei nº </w:t>
      </w:r>
      <w:r w:rsidR="008D545A">
        <w:rPr>
          <w:rFonts w:cstheme="minorHAnsi"/>
          <w:b/>
          <w:bCs/>
          <w:sz w:val="24"/>
          <w:szCs w:val="24"/>
        </w:rPr>
        <w:t>17</w:t>
      </w:r>
      <w:r>
        <w:rPr>
          <w:rFonts w:cstheme="minorHAnsi"/>
          <w:b/>
          <w:bCs/>
          <w:sz w:val="24"/>
          <w:szCs w:val="24"/>
        </w:rPr>
        <w:t>3</w:t>
      </w:r>
      <w:r w:rsidRPr="00D36612">
        <w:rPr>
          <w:rFonts w:cstheme="minorHAnsi"/>
          <w:b/>
          <w:bCs/>
          <w:sz w:val="24"/>
          <w:szCs w:val="24"/>
        </w:rPr>
        <w:t>/20</w:t>
      </w:r>
      <w:r w:rsidRPr="00D36612" w:rsidR="00C65153">
        <w:rPr>
          <w:rFonts w:cstheme="minorHAnsi"/>
          <w:b/>
          <w:bCs/>
          <w:sz w:val="24"/>
          <w:szCs w:val="24"/>
        </w:rPr>
        <w:t>2</w:t>
      </w:r>
      <w:r w:rsidRPr="00D36612" w:rsidR="00840756">
        <w:rPr>
          <w:rFonts w:cstheme="minorHAnsi"/>
          <w:b/>
          <w:bCs/>
          <w:sz w:val="24"/>
          <w:szCs w:val="24"/>
        </w:rPr>
        <w:t>2</w:t>
      </w:r>
      <w:r w:rsidRPr="00D36612" w:rsidR="00055A36">
        <w:rPr>
          <w:rFonts w:cstheme="minorHAnsi"/>
          <w:b/>
          <w:bCs/>
          <w:sz w:val="24"/>
          <w:szCs w:val="24"/>
        </w:rPr>
        <w:t xml:space="preserve"> –</w:t>
      </w:r>
      <w:r w:rsidRPr="00D36612" w:rsidR="003B55E5">
        <w:rPr>
          <w:rFonts w:cstheme="minorHAnsi"/>
          <w:b/>
          <w:bCs/>
          <w:sz w:val="24"/>
          <w:szCs w:val="24"/>
        </w:rPr>
        <w:t xml:space="preserve"> </w:t>
      </w:r>
      <w:r w:rsidRPr="00B4272B">
        <w:rPr>
          <w:rFonts w:eastAsia="Times New Roman" w:cstheme="minorHAnsi"/>
          <w:sz w:val="24"/>
          <w:szCs w:val="24"/>
          <w:lang w:eastAsia="pt-BR"/>
        </w:rPr>
        <w:t xml:space="preserve">Altera as referências dos cargos de Agente Comunitário de Saúde e do Agente de Combate às Endemias, constantes na Lei nº 6.206, de 23 de dezembro de </w:t>
      </w:r>
      <w:r w:rsidRPr="00B4272B">
        <w:rPr>
          <w:rFonts w:eastAsia="Times New Roman" w:cstheme="minorHAnsi"/>
          <w:sz w:val="24"/>
          <w:szCs w:val="24"/>
          <w:lang w:eastAsia="pt-BR"/>
        </w:rPr>
        <w:t>2021 (Estrutura Administrativa e de Cargos da Prefeitura do Município de Valinhos), de acordo com a Emenda Constitucional nº</w:t>
      </w:r>
      <w:r w:rsidRPr="00B4272B">
        <w:rPr>
          <w:rFonts w:eastAsia="Times New Roman" w:cstheme="minorHAnsi"/>
          <w:sz w:val="24"/>
          <w:szCs w:val="24"/>
          <w:lang w:eastAsia="pt-BR"/>
        </w:rPr>
        <w:t xml:space="preserve"> 120/22.</w:t>
      </w:r>
    </w:p>
    <w:p w:rsidR="005101D9" w:rsidRPr="00D36612" w:rsidP="003B55E5" w14:paraId="3CE02196" w14:textId="49A5EBD3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36612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D36612" w:rsidR="005A1CB4">
        <w:rPr>
          <w:rFonts w:cstheme="minorHAnsi"/>
          <w:b/>
          <w:bCs/>
          <w:sz w:val="24"/>
          <w:szCs w:val="24"/>
        </w:rPr>
        <w:t xml:space="preserve">Mensagem </w:t>
      </w:r>
      <w:r w:rsidR="008D545A">
        <w:rPr>
          <w:rFonts w:cstheme="minorHAnsi"/>
          <w:b/>
          <w:bCs/>
          <w:sz w:val="24"/>
          <w:szCs w:val="24"/>
        </w:rPr>
        <w:t>5</w:t>
      </w:r>
      <w:r w:rsidR="00B4272B">
        <w:rPr>
          <w:rFonts w:cstheme="minorHAnsi"/>
          <w:b/>
          <w:bCs/>
          <w:sz w:val="24"/>
          <w:szCs w:val="24"/>
        </w:rPr>
        <w:t>8</w:t>
      </w:r>
      <w:r w:rsidRPr="00D36612" w:rsidR="00840756">
        <w:rPr>
          <w:rFonts w:cstheme="minorHAnsi"/>
          <w:b/>
          <w:bCs/>
          <w:sz w:val="24"/>
          <w:szCs w:val="24"/>
        </w:rPr>
        <w:t>/2022</w:t>
      </w:r>
      <w:r w:rsidRPr="00D36612">
        <w:rPr>
          <w:rFonts w:cstheme="minorHAnsi"/>
          <w:b/>
          <w:bCs/>
          <w:sz w:val="24"/>
          <w:szCs w:val="24"/>
        </w:rPr>
        <w:t>.</w:t>
      </w:r>
    </w:p>
    <w:p w:rsidR="005101D9" w:rsidRPr="00D36612" w:rsidP="00995E87" w14:paraId="0F01B010" w14:textId="77777777">
      <w:pPr>
        <w:tabs>
          <w:tab w:val="left" w:pos="1134"/>
        </w:tabs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EC6150" w:rsidRPr="00DF2C1A" w:rsidP="00E503EA" w14:paraId="1306D454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EC6150" w:rsidRPr="00DF2C1A" w:rsidP="00E503EA" w14:paraId="080C526A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C65153" w:rsidRPr="00DF2C1A" w:rsidP="00E503EA" w14:paraId="70D58AF3" w14:textId="3A4D960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>À</w:t>
      </w:r>
      <w:r w:rsidRPr="00DF2C1A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DF2C1A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DF2C1A" w:rsidP="00053466" w14:paraId="4B40703B" w14:textId="4D816761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>Exmo. Vereador Sidmar Rodrigo Toloi</w:t>
      </w:r>
      <w:r w:rsidRPr="00DF2C1A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EA669D" w:rsidRPr="00DF2C1A" w:rsidP="00053466" w14:paraId="4C800A41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EC6150" w:rsidRPr="00DF2C1A" w:rsidP="00053466" w14:paraId="5BC27350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DF2C1A" w:rsidP="003C2F5F" w14:paraId="4ABBC958" w14:textId="7A7A9E88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ab/>
      </w:r>
    </w:p>
    <w:p w:rsidR="008D545A" w:rsidRPr="00B4272B" w:rsidP="00B4272B" w14:paraId="6279EE1B" w14:textId="77C60420">
      <w:pPr>
        <w:spacing w:after="240" w:line="360" w:lineRule="auto"/>
        <w:ind w:firstLine="1701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DF2C1A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DF2C1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F2C1A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B4272B">
        <w:rPr>
          <w:rFonts w:eastAsia="Times New Roman" w:cstheme="minorHAnsi"/>
          <w:i/>
          <w:sz w:val="24"/>
          <w:szCs w:val="24"/>
          <w:lang w:eastAsia="pt-BR"/>
        </w:rPr>
        <w:t>“</w:t>
      </w:r>
      <w:r w:rsidRPr="00B4272B" w:rsidR="00B4272B">
        <w:rPr>
          <w:i/>
          <w:sz w:val="24"/>
          <w:szCs w:val="24"/>
        </w:rPr>
        <w:t xml:space="preserve">Altera as referências dos cargos de Agente Comunitário de Saúde e do Agente de Combate às Endemias, constantes na Lei nº 6.206, de 23 de dezembro de 2021 (Estrutura Administrativa e de Cargos da Prefeitura do Município de Valinhos), de acordo com a </w:t>
      </w:r>
      <w:r w:rsidR="00B4272B">
        <w:rPr>
          <w:i/>
          <w:sz w:val="24"/>
          <w:szCs w:val="24"/>
        </w:rPr>
        <w:t>Emenda Constitucional nº 120/22</w:t>
      </w:r>
      <w:r w:rsidRPr="00B4272B">
        <w:rPr>
          <w:i/>
          <w:sz w:val="24"/>
          <w:szCs w:val="24"/>
        </w:rPr>
        <w:t>”.</w:t>
      </w:r>
    </w:p>
    <w:p w:rsidR="00C65153" w:rsidRPr="00DF2C1A" w:rsidP="00053466" w14:paraId="71911B29" w14:textId="13E0745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i/>
          <w:sz w:val="24"/>
          <w:szCs w:val="24"/>
        </w:rPr>
        <w:t>Ab initio</w:t>
      </w:r>
      <w:r w:rsidRPr="00DF2C1A">
        <w:rPr>
          <w:rFonts w:cstheme="minorHAnsi"/>
          <w:sz w:val="24"/>
          <w:szCs w:val="24"/>
        </w:rPr>
        <w:t>, cumpre destacar a competência regimental</w:t>
      </w:r>
      <w:r w:rsidRPr="00DF2C1A" w:rsidR="00973E66">
        <w:rPr>
          <w:rFonts w:cstheme="minorHAnsi"/>
          <w:sz w:val="24"/>
          <w:szCs w:val="24"/>
        </w:rPr>
        <w:t xml:space="preserve"> da </w:t>
      </w:r>
      <w:r w:rsidRPr="00DF2C1A">
        <w:rPr>
          <w:rFonts w:cstheme="minorHAnsi"/>
          <w:sz w:val="24"/>
          <w:szCs w:val="24"/>
        </w:rPr>
        <w:t>Comissão de Justiça e Redação</w:t>
      </w:r>
      <w:r w:rsidRPr="00DF2C1A" w:rsidR="00973E66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DF2C1A" w:rsidP="00055A36" w14:paraId="3996D272" w14:textId="674436C6">
      <w:pPr>
        <w:spacing w:after="120" w:line="360" w:lineRule="auto"/>
        <w:ind w:firstLine="1701"/>
        <w:jc w:val="both"/>
        <w:rPr>
          <w:rFonts w:cstheme="minorHAnsi"/>
        </w:rPr>
      </w:pPr>
      <w:r w:rsidRPr="00DF2C1A">
        <w:rPr>
          <w:rFonts w:cstheme="minorHAnsi"/>
          <w:sz w:val="24"/>
          <w:szCs w:val="24"/>
        </w:rPr>
        <w:t>Outrossim</w:t>
      </w:r>
      <w:r w:rsidRPr="00DF2C1A">
        <w:rPr>
          <w:rFonts w:cstheme="minorHAnsi"/>
          <w:sz w:val="24"/>
          <w:szCs w:val="24"/>
        </w:rPr>
        <w:t>, ressalta-se que a opinião jurídica exarada nes</w:t>
      </w:r>
      <w:r w:rsidRPr="00DF2C1A" w:rsidR="00B20851">
        <w:rPr>
          <w:rFonts w:cstheme="minorHAnsi"/>
          <w:sz w:val="24"/>
          <w:szCs w:val="24"/>
        </w:rPr>
        <w:t>s</w:t>
      </w:r>
      <w:r w:rsidRPr="00DF2C1A">
        <w:rPr>
          <w:rFonts w:cstheme="minorHAnsi"/>
          <w:sz w:val="24"/>
          <w:szCs w:val="24"/>
        </w:rPr>
        <w:t>e parecer não tem força vinculante, sendo meramente opinativo não fundamentando decisão proferida pelas Comissões e/ou nobres vereadores.</w:t>
      </w:r>
      <w:r w:rsidR="00055A36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</w:rPr>
        <w:t xml:space="preserve">Nesse sentido é o entendimento do Supremo Tribunal Federal: </w:t>
      </w:r>
    </w:p>
    <w:p w:rsidR="00C65153" w:rsidRPr="00DF2C1A" w:rsidP="00116058" w14:paraId="6A14452A" w14:textId="77777777">
      <w:pPr>
        <w:pStyle w:val="Default"/>
        <w:spacing w:after="24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C1A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DF2C1A">
        <w:rPr>
          <w:rFonts w:asciiTheme="minorHAnsi" w:hAnsiTheme="minorHAnsi" w:cstheme="minorHAnsi"/>
          <w:i/>
          <w:sz w:val="22"/>
          <w:szCs w:val="22"/>
        </w:rPr>
        <w:t>ex</w:t>
      </w:r>
      <w:r w:rsidRPr="00DF2C1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F2C1A">
        <w:rPr>
          <w:rFonts w:asciiTheme="minorHAnsi" w:hAnsiTheme="minorHAnsi" w:cstheme="minorHAnsi"/>
          <w:i/>
          <w:sz w:val="22"/>
          <w:szCs w:val="22"/>
        </w:rPr>
        <w:t>oficio</w:t>
      </w:r>
      <w:r w:rsidRPr="00DF2C1A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623AD7" w:rsidP="00AA19F5" w14:paraId="26AE4FB9" w14:textId="2091AD5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DF2C1A">
        <w:rPr>
          <w:rFonts w:asciiTheme="minorHAnsi" w:hAnsiTheme="minorHAnsi" w:cstheme="minorHAnsi"/>
          <w:color w:val="auto"/>
        </w:rPr>
        <w:t>Considerando-se o</w:t>
      </w:r>
      <w:r w:rsidRPr="00DF2C1A" w:rsidR="00A32BE6">
        <w:rPr>
          <w:rFonts w:asciiTheme="minorHAnsi" w:hAnsiTheme="minorHAnsi" w:cstheme="minorHAnsi"/>
          <w:color w:val="auto"/>
        </w:rPr>
        <w:t xml:space="preserve"> aspecto constitucional, legal e</w:t>
      </w:r>
      <w:r w:rsidRPr="00DF2C1A">
        <w:rPr>
          <w:rFonts w:asciiTheme="minorHAnsi" w:hAnsiTheme="minorHAnsi" w:cstheme="minorHAnsi"/>
          <w:color w:val="auto"/>
        </w:rPr>
        <w:t xml:space="preserve"> jurídico, passa-se </w:t>
      </w:r>
      <w:r w:rsidRPr="00DF2C1A" w:rsidR="002D1F88">
        <w:rPr>
          <w:rFonts w:asciiTheme="minorHAnsi" w:hAnsiTheme="minorHAnsi" w:cstheme="minorHAnsi"/>
          <w:color w:val="auto"/>
        </w:rPr>
        <w:t>a</w:t>
      </w:r>
      <w:r w:rsidRPr="00DF2C1A">
        <w:rPr>
          <w:rFonts w:asciiTheme="minorHAnsi" w:hAnsiTheme="minorHAnsi" w:cstheme="minorHAnsi"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color w:val="auto"/>
        </w:rPr>
        <w:t>análise técnica</w:t>
      </w:r>
      <w:r w:rsidRPr="00DF2C1A">
        <w:rPr>
          <w:rFonts w:asciiTheme="minorHAnsi" w:hAnsiTheme="minorHAnsi" w:cstheme="minorHAnsi"/>
          <w:color w:val="auto"/>
        </w:rPr>
        <w:t xml:space="preserve"> do projeto. </w:t>
      </w:r>
    </w:p>
    <w:p w:rsidR="00D36612" w:rsidRPr="00234202" w:rsidP="00D36612" w14:paraId="04ED68B2" w14:textId="77777777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Preliminarmente, quanto ao </w:t>
      </w:r>
      <w:r w:rsidRPr="00234202">
        <w:rPr>
          <w:rFonts w:asciiTheme="minorHAnsi" w:hAnsiTheme="minorHAnsi" w:cstheme="minorHAnsi"/>
          <w:b/>
          <w:u w:val="single"/>
        </w:rPr>
        <w:t>pedido de urgência</w:t>
      </w:r>
      <w:r>
        <w:rPr>
          <w:rFonts w:asciiTheme="minorHAnsi" w:hAnsiTheme="minorHAnsi" w:cstheme="minorHAnsi"/>
        </w:rPr>
        <w:t xml:space="preserve"> o Regimento Interno dispõe:</w:t>
      </w:r>
    </w:p>
    <w:p w:rsidR="00D36612" w:rsidP="00D36612" w14:paraId="22D62D29" w14:textId="77777777">
      <w:pPr>
        <w:autoSpaceDE w:val="0"/>
        <w:autoSpaceDN w:val="0"/>
        <w:adjustRightInd w:val="0"/>
        <w:spacing w:after="0"/>
        <w:ind w:left="2268" w:hanging="1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Art. 115. O Prefeito poderá solicitar regime de urgência para projeto de </w:t>
      </w:r>
      <w:r>
        <w:rPr>
          <w:rFonts w:eastAsia="Calibri" w:cstheme="minorHAnsi"/>
          <w:i/>
        </w:rPr>
        <w:t>sua iniciativa considerado de relevante interesse público, devendo a Câmara</w:t>
      </w:r>
      <w:r>
        <w:rPr>
          <w:rFonts w:eastAsia="Calibri" w:cstheme="minorHAnsi"/>
          <w:i/>
        </w:rPr>
        <w:t xml:space="preserve"> apreciá-lo dentro do prazo de trinta dias.</w:t>
      </w:r>
    </w:p>
    <w:p w:rsidR="00D36612" w:rsidP="00D36612" w14:paraId="0D8F5617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i/>
        </w:rPr>
        <w:t xml:space="preserve">§ </w:t>
      </w:r>
      <w:r>
        <w:rPr>
          <w:rFonts w:eastAsia="Calibri" w:cstheme="minorHAnsi"/>
          <w:i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36612" w:rsidP="00D36612" w14:paraId="4EE65BD0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2º Por exceção, não ficará sobrestado o exame do veto cujo prazo de deliberação tenha se esgotado.  </w:t>
      </w:r>
    </w:p>
    <w:p w:rsidR="00D36612" w:rsidP="00D36612" w14:paraId="765D21E3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3º O pedido de urgência será apreciado pela Comissão de Justiça e Redação e quando negado será submetido à votação do Plenário.  </w:t>
      </w:r>
    </w:p>
    <w:p w:rsidR="00D36612" w:rsidP="00D36612" w14:paraId="6DE9EDCF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4º A Mesa poderá fixar prazo para apresentação de emendas tanto em primeira como em segunda discussão. </w:t>
      </w:r>
    </w:p>
    <w:p w:rsidR="00D36612" w:rsidP="00D36612" w14:paraId="42551137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36612" w:rsidP="00D36612" w14:paraId="54823DED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>§ 6º Aos projetos de Codificação e Estatuto, artigos 121 e 122, não se aplicam o disposto no caput do artigo.</w:t>
      </w:r>
    </w:p>
    <w:p w:rsidR="00D36612" w:rsidP="00D36612" w14:paraId="238E89DC" w14:textId="77777777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cstheme="minorHAnsi"/>
          <w:i/>
          <w:sz w:val="12"/>
          <w:szCs w:val="12"/>
        </w:rPr>
      </w:pPr>
    </w:p>
    <w:p w:rsidR="00D36612" w:rsidP="00D36612" w14:paraId="2E4B91D1" w14:textId="77777777">
      <w:pPr>
        <w:pStyle w:val="Default"/>
        <w:spacing w:after="30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A21575" w:rsidRPr="00DF2C1A" w:rsidP="00053466" w14:paraId="08354287" w14:textId="492CFA3D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DF2C1A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AD2EF4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AD2EF4">
        <w:rPr>
          <w:rFonts w:asciiTheme="minorHAnsi" w:hAnsiTheme="minorHAnsi" w:cstheme="minorHAnsi"/>
          <w:b/>
          <w:color w:val="auto"/>
        </w:rPr>
        <w:t>,</w:t>
      </w:r>
      <w:r w:rsidRPr="00DF2C1A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DF2C1A" w:rsidR="006B1DD9">
        <w:rPr>
          <w:rFonts w:asciiTheme="minorHAnsi" w:hAnsiTheme="minorHAnsi" w:cstheme="minorHAnsi"/>
          <w:color w:val="auto"/>
        </w:rPr>
        <w:t xml:space="preserve">Federal </w:t>
      </w:r>
      <w:r w:rsidRPr="00DF2C1A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="008F1AFA">
        <w:rPr>
          <w:rFonts w:asciiTheme="minorHAnsi" w:hAnsiTheme="minorHAnsi" w:cstheme="minorHAnsi"/>
          <w:color w:val="auto"/>
        </w:rPr>
        <w:t xml:space="preserve">esse local </w:t>
      </w:r>
      <w:r w:rsidRPr="00DF2C1A" w:rsidR="000A2B7F">
        <w:rPr>
          <w:rFonts w:asciiTheme="minorHAnsi" w:hAnsiTheme="minorHAnsi" w:cstheme="minorHAnsi"/>
          <w:color w:val="auto"/>
        </w:rPr>
        <w:t>(art. 30, I</w:t>
      </w:r>
      <w:r w:rsidRPr="00DF2C1A">
        <w:rPr>
          <w:rFonts w:asciiTheme="minorHAnsi" w:hAnsiTheme="minorHAnsi" w:cstheme="minorHAnsi"/>
          <w:color w:val="auto"/>
        </w:rPr>
        <w:t xml:space="preserve">, da CRFB), </w:t>
      </w:r>
      <w:r w:rsidRPr="00DF2C1A">
        <w:rPr>
          <w:rFonts w:asciiTheme="minorHAnsi" w:hAnsiTheme="minorHAnsi" w:cstheme="minorHAnsi"/>
          <w:i/>
          <w:color w:val="auto"/>
        </w:rPr>
        <w:t>in verbis:</w:t>
      </w:r>
    </w:p>
    <w:p w:rsidR="00A21575" w:rsidRPr="00DF2C1A" w:rsidP="00D36612" w14:paraId="7E45F21B" w14:textId="54F04B75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>Art. 30. Compete aos Municípios:</w:t>
      </w:r>
    </w:p>
    <w:p w:rsidR="00EC6150" w:rsidRPr="00DF2C1A" w:rsidP="00D36612" w14:paraId="47CAEBE7" w14:textId="42F12378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 </w:t>
      </w:r>
      <w:r w:rsidRPr="00DF2C1A" w:rsidR="00A21575">
        <w:rPr>
          <w:rFonts w:eastAsia="Calibri" w:cstheme="minorHAnsi"/>
          <w:i/>
          <w:color w:val="000000"/>
        </w:rPr>
        <w:t>legislar sobre assuntos de interesse local</w:t>
      </w:r>
    </w:p>
    <w:p w:rsidR="00623AD7" w:rsidP="00D36612" w14:paraId="4ED24074" w14:textId="1ECE687E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cstheme="minorHAnsi"/>
        </w:rPr>
      </w:pPr>
      <w:r w:rsidRPr="00DF2C1A">
        <w:rPr>
          <w:rFonts w:eastAsia="Calibri" w:cstheme="minorHAnsi"/>
          <w:i/>
          <w:color w:val="000000"/>
        </w:rPr>
        <w:t>(...)</w:t>
      </w:r>
      <w:r w:rsidRPr="00DF2C1A">
        <w:rPr>
          <w:rFonts w:cstheme="minorHAnsi"/>
        </w:rPr>
        <w:t xml:space="preserve"> </w:t>
      </w:r>
    </w:p>
    <w:p w:rsidR="00623AD7" w:rsidRPr="00DF2C1A" w:rsidP="00622D40" w14:paraId="72FF87E4" w14:textId="77777777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DF2C1A" w:rsidP="00EA669D" w14:paraId="500D294B" w14:textId="77777777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 xml:space="preserve">Art. 5º Compete ao Município, no exercício de sua autonomia, </w:t>
      </w:r>
      <w:r w:rsidRPr="00DF2C1A">
        <w:rPr>
          <w:rFonts w:cstheme="minorHAnsi"/>
          <w:i/>
          <w:u w:val="single"/>
        </w:rPr>
        <w:t>legislar sobre tudo quanto respeite ao interesse local,</w:t>
      </w:r>
      <w:r w:rsidRPr="00DF2C1A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DF2C1A" w:rsidP="00EA669D" w14:paraId="23F5F8A4" w14:textId="1C57C6CF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(...)</w:t>
      </w:r>
    </w:p>
    <w:p w:rsidR="00A84A80" w:rsidRPr="00DF2C1A" w:rsidP="00EA669D" w14:paraId="5A3C8E21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RPr="00DF2C1A" w:rsidP="00EA669D" w14:paraId="2E506F9D" w14:textId="4F87796E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“</w:t>
      </w:r>
      <w:r w:rsidRPr="00DF2C1A">
        <w:rPr>
          <w:rFonts w:cstheme="minorHAnsi"/>
          <w:i/>
        </w:rPr>
        <w:t>Art.</w:t>
      </w:r>
      <w:r w:rsidRPr="00DF2C1A">
        <w:rPr>
          <w:rFonts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DF2C1A" w:rsidP="00EA669D" w14:paraId="1501755F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RPr="00DF2C1A" w:rsidP="00EA669D" w14:paraId="6D57EEB3" w14:textId="03743BEC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I - legislar sobre assuntos de interesse local;</w:t>
      </w:r>
      <w:r w:rsidRPr="00DF2C1A" w:rsidR="006E4468">
        <w:rPr>
          <w:rFonts w:cstheme="minorHAnsi"/>
          <w:i/>
        </w:rPr>
        <w:t xml:space="preserve"> </w:t>
      </w:r>
      <w:r w:rsidRPr="00DF2C1A" w:rsidR="006E4468">
        <w:rPr>
          <w:rFonts w:cstheme="minorHAnsi"/>
          <w:i/>
        </w:rPr>
        <w:t>“</w:t>
      </w:r>
    </w:p>
    <w:p w:rsidR="00DF2C1A" w:rsidRPr="00DF2C1A" w:rsidP="00EA669D" w14:paraId="2A6D4166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DF2C1A" w:rsidP="00995E87" w14:paraId="616D43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  <w:t xml:space="preserve">   </w:t>
      </w:r>
      <w:r w:rsidRPr="00DF2C1A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DF2C1A" w:rsidP="002C4D6D" w14:paraId="37CA77C0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b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DF2C1A">
        <w:rPr>
          <w:rFonts w:eastAsia="Calibri" w:cstheme="minorHAnsi"/>
          <w:i/>
          <w:color w:val="000000"/>
        </w:rPr>
        <w:t xml:space="preserve">essa </w:t>
      </w:r>
      <w:r w:rsidRPr="00DF2C1A">
        <w:rPr>
          <w:rFonts w:eastAsia="Calibri" w:cstheme="minorHAnsi"/>
          <w:i/>
          <w:color w:val="000000"/>
        </w:rPr>
        <w:t>privatividade</w:t>
      </w:r>
      <w:r w:rsidRPr="00DF2C1A">
        <w:rPr>
          <w:rFonts w:eastAsia="Calibri" w:cstheme="minorHAnsi"/>
          <w:i/>
          <w:color w:val="000000"/>
        </w:rPr>
        <w:t>, essa unicidade, bem reduzido</w:t>
      </w:r>
      <w:r w:rsidRPr="00DF2C1A">
        <w:rPr>
          <w:rFonts w:eastAsia="Calibri" w:cstheme="minorHAns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DF2C1A">
        <w:rPr>
          <w:rFonts w:eastAsia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DF2C1A">
        <w:rPr>
          <w:rFonts w:eastAsia="Calibri" w:cstheme="minorHAnsi"/>
          <w:b/>
          <w:i/>
          <w:color w:val="000000"/>
        </w:rPr>
        <w:t>gn</w:t>
      </w:r>
      <w:r w:rsidRPr="00DF2C1A">
        <w:rPr>
          <w:rFonts w:eastAsia="Calibri" w:cstheme="minorHAnsi"/>
          <w:b/>
          <w:i/>
          <w:color w:val="000000"/>
        </w:rPr>
        <w:t>)</w:t>
      </w:r>
    </w:p>
    <w:p w:rsidR="00995E87" w:rsidRPr="00DF2C1A" w:rsidP="002C4D6D" w14:paraId="6D60DF28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DF2C1A">
        <w:rPr>
          <w:rFonts w:eastAsia="Calibri" w:cstheme="minorHAnsi"/>
          <w:i/>
          <w:color w:val="000000"/>
        </w:rPr>
        <w:t>98)</w:t>
      </w:r>
    </w:p>
    <w:p w:rsidR="00057AD0" w:rsidP="00057AD0" w14:paraId="67461487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</w:r>
    </w:p>
    <w:p w:rsidR="003B55E5" w:rsidP="003B55E5" w14:paraId="3E39C0E2" w14:textId="0B5D513B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Lei Orgânica estabelece que a matéria deve ser submetida à apreciação da Câmara:</w:t>
      </w:r>
    </w:p>
    <w:p w:rsidR="003B55E5" w:rsidRPr="003B55E5" w:rsidP="00207702" w14:paraId="36488C4C" w14:textId="213C36CC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3B55E5" w:rsidRPr="003B55E5" w:rsidP="00207702" w14:paraId="4F7FF05F" w14:textId="69567EBA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3B55E5" w:rsidRPr="003B55E5" w:rsidP="00207702" w14:paraId="1601FA76" w14:textId="58DBB921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 xml:space="preserve">X - autorizar a criação, transformação e extinção de cargos, empregos e funções na administração direta, autárquica e 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fundações públicas, </w:t>
      </w:r>
      <w:r w:rsidRPr="00207702">
        <w:rPr>
          <w:rFonts w:asciiTheme="minorHAnsi" w:hAnsiTheme="minorHAnsi" w:cstheme="minorHAnsi"/>
          <w:b/>
          <w:i/>
          <w:sz w:val="22"/>
          <w:szCs w:val="22"/>
        </w:rPr>
        <w:t>assim como a fixação dos respectivos vencimentos,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 observados</w:t>
      </w:r>
      <w:r w:rsidRPr="003B55E5">
        <w:rPr>
          <w:rFonts w:asciiTheme="minorHAnsi" w:hAnsiTheme="minorHAnsi" w:cstheme="minorHAnsi"/>
          <w:i/>
          <w:sz w:val="22"/>
          <w:szCs w:val="22"/>
        </w:rPr>
        <w:t xml:space="preserve"> os parâmetros da lei de diretrizes orçamentárias;</w:t>
      </w:r>
    </w:p>
    <w:p w:rsidR="003B55E5" w:rsidRPr="003B55E5" w:rsidP="00207702" w14:paraId="15181B4B" w14:textId="16BC43C1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B55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4272B" w:rsidP="003B55E5" w14:paraId="26909C2B" w14:textId="2256F8F5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Por seu turno, o art. 198 da Constituição Federal, alterado pela Emenda Constitucional n° 120, de 05 de maio de 2022, estabelece:</w:t>
      </w:r>
    </w:p>
    <w:p w:rsidR="00B4272B" w:rsidRPr="00B4272B" w:rsidP="00207702" w14:paraId="793B7659" w14:textId="0B06F91E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272B">
        <w:rPr>
          <w:rFonts w:asciiTheme="minorHAnsi" w:hAnsiTheme="minorHAnsi" w:cstheme="minorHAnsi"/>
          <w:i/>
          <w:sz w:val="22"/>
          <w:szCs w:val="22"/>
        </w:rPr>
        <w:t xml:space="preserve">Art. 198. (...) </w:t>
      </w:r>
    </w:p>
    <w:p w:rsidR="00B4272B" w:rsidRPr="00B4272B" w:rsidP="00207702" w14:paraId="682863B6" w14:textId="061E0FA0">
      <w:pPr>
        <w:pStyle w:val="BodyTex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272B">
        <w:rPr>
          <w:rFonts w:asciiTheme="minorHAnsi" w:hAnsiTheme="minorHAnsi" w:cstheme="minorHAnsi"/>
          <w:i/>
          <w:sz w:val="22"/>
          <w:szCs w:val="22"/>
        </w:rPr>
        <w:t>§ 7°</w:t>
      </w:r>
      <w:r w:rsidRPr="00B4272B">
        <w:rPr>
          <w:rFonts w:asciiTheme="minorHAnsi" w:hAnsiTheme="minorHAnsi" w:cstheme="minorHAnsi"/>
          <w:i/>
          <w:sz w:val="22"/>
          <w:szCs w:val="22"/>
          <w:u w:val="single"/>
        </w:rPr>
        <w:t xml:space="preserve">O vencimento dos agentes comunitários de saúde e dos agentes de combate às endemias fica </w:t>
      </w:r>
      <w:r w:rsidRPr="00B4272B">
        <w:rPr>
          <w:rFonts w:asciiTheme="minorHAnsi" w:hAnsiTheme="minorHAnsi" w:cstheme="minorHAnsi"/>
          <w:i/>
          <w:sz w:val="22"/>
          <w:szCs w:val="22"/>
          <w:u w:val="single"/>
        </w:rPr>
        <w:t>sob responsabilidade</w:t>
      </w:r>
      <w:r w:rsidRPr="00B4272B">
        <w:rPr>
          <w:rFonts w:asciiTheme="minorHAnsi" w:hAnsiTheme="minorHAnsi" w:cstheme="minorHAnsi"/>
          <w:i/>
          <w:sz w:val="22"/>
          <w:szCs w:val="22"/>
          <w:u w:val="single"/>
        </w:rPr>
        <w:t xml:space="preserve"> da União</w:t>
      </w:r>
      <w:r w:rsidRPr="00B4272B">
        <w:rPr>
          <w:rFonts w:asciiTheme="minorHAnsi" w:hAnsiTheme="minorHAnsi" w:cstheme="minorHAnsi"/>
          <w:i/>
          <w:sz w:val="22"/>
          <w:szCs w:val="22"/>
        </w:rPr>
        <w:t xml:space="preserve">, e cabe </w:t>
      </w:r>
      <w:r w:rsidRPr="00B4272B">
        <w:rPr>
          <w:rFonts w:asciiTheme="minorHAnsi" w:hAnsiTheme="minorHAnsi" w:cstheme="minorHAnsi"/>
          <w:i/>
          <w:sz w:val="22"/>
          <w:szCs w:val="22"/>
        </w:rPr>
        <w:t>aos Estados, ao Distrito Federal e aos Municípios estabelecer, além de outros consectários e vantagens, incentivos, auxílio</w:t>
      </w:r>
      <w:r>
        <w:rPr>
          <w:rFonts w:asciiTheme="minorHAnsi" w:hAnsiTheme="minorHAnsi" w:cstheme="minorHAnsi"/>
          <w:i/>
          <w:sz w:val="22"/>
          <w:szCs w:val="22"/>
        </w:rPr>
        <w:t>s, gratificações e indenizações</w:t>
      </w:r>
      <w:r w:rsidRPr="00B4272B">
        <w:rPr>
          <w:rFonts w:asciiTheme="minorHAnsi" w:hAnsiTheme="minorHAnsi" w:cstheme="minorHAnsi"/>
          <w:i/>
          <w:sz w:val="22"/>
          <w:szCs w:val="22"/>
        </w:rPr>
        <w:t xml:space="preserve"> a fim de valorizar o trabalho desses profissionais.</w:t>
      </w:r>
    </w:p>
    <w:p w:rsidR="00B4272B" w:rsidRPr="00B4272B" w:rsidP="00B4272B" w14:paraId="501A5020" w14:textId="12D22FFB">
      <w:pPr>
        <w:pStyle w:val="BodyText"/>
        <w:spacing w:after="24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272B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4272B" w:rsidRPr="00B4272B" w:rsidP="00B4272B" w14:paraId="6C794CC6" w14:textId="6852EB50">
      <w:pPr>
        <w:pStyle w:val="BodyText"/>
        <w:spacing w:after="24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4272B">
        <w:rPr>
          <w:rFonts w:asciiTheme="minorHAnsi" w:hAnsiTheme="minorHAnsi" w:cstheme="minorHAnsi"/>
          <w:i/>
          <w:sz w:val="22"/>
          <w:szCs w:val="22"/>
        </w:rPr>
        <w:t xml:space="preserve">§ 9° </w:t>
      </w:r>
      <w:r w:rsidRPr="009A170D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 vencimento dos agentes comunitários de saúde e dos agentes de combate às endemias não será inferior a </w:t>
      </w:r>
      <w:r w:rsidRPr="009A170D">
        <w:rPr>
          <w:rFonts w:asciiTheme="minorHAnsi" w:hAnsiTheme="minorHAnsi" w:cstheme="minorHAnsi"/>
          <w:b/>
          <w:i/>
          <w:sz w:val="22"/>
          <w:szCs w:val="22"/>
          <w:u w:val="single"/>
        </w:rPr>
        <w:t>2</w:t>
      </w:r>
      <w:r w:rsidRPr="009A170D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(dois) salários mínimos, repassados pela União aos Municípios</w:t>
      </w:r>
      <w:r w:rsidRPr="00B4272B">
        <w:rPr>
          <w:rFonts w:asciiTheme="minorHAnsi" w:hAnsiTheme="minorHAnsi" w:cstheme="minorHAnsi"/>
          <w:i/>
          <w:sz w:val="22"/>
          <w:szCs w:val="22"/>
          <w:u w:val="single"/>
        </w:rPr>
        <w:t>,</w:t>
      </w:r>
      <w:r w:rsidRPr="00B4272B">
        <w:rPr>
          <w:rFonts w:asciiTheme="minorHAnsi" w:hAnsiTheme="minorHAnsi" w:cstheme="minorHAnsi"/>
          <w:i/>
          <w:sz w:val="22"/>
          <w:szCs w:val="22"/>
        </w:rPr>
        <w:t xml:space="preserve"> aos Estados e ao Distrito Federal.</w:t>
      </w:r>
    </w:p>
    <w:p w:rsidR="00207702" w:rsidP="00207702" w14:paraId="439E8DCF" w14:textId="1CA72CFC">
      <w:pPr>
        <w:pStyle w:val="NormalWeb"/>
        <w:spacing w:after="240" w:afterAutospacing="0" w:line="360" w:lineRule="auto"/>
        <w:ind w:firstLine="170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Destarte, </w:t>
      </w:r>
      <w:r w:rsidR="007867AD">
        <w:rPr>
          <w:rFonts w:asciiTheme="minorHAnsi" w:hAnsiTheme="minorHAnsi" w:cstheme="minorHAnsi"/>
          <w:color w:val="000000" w:themeColor="text1"/>
        </w:rPr>
        <w:t xml:space="preserve">no consoante a matéria </w:t>
      </w:r>
      <w:r>
        <w:rPr>
          <w:rFonts w:asciiTheme="minorHAnsi" w:hAnsiTheme="minorHAnsi" w:cstheme="minorHAnsi"/>
          <w:color w:val="000000" w:themeColor="text1"/>
        </w:rPr>
        <w:t xml:space="preserve">infere-se que o projeto </w:t>
      </w:r>
      <w:r w:rsidR="007867AD">
        <w:rPr>
          <w:rFonts w:asciiTheme="minorHAnsi" w:hAnsiTheme="minorHAnsi" w:cstheme="minorHAnsi"/>
          <w:color w:val="000000" w:themeColor="text1"/>
        </w:rPr>
        <w:t xml:space="preserve">se </w:t>
      </w:r>
      <w:r>
        <w:rPr>
          <w:rFonts w:asciiTheme="minorHAnsi" w:hAnsiTheme="minorHAnsi" w:cstheme="minorHAnsi"/>
          <w:color w:val="000000" w:themeColor="text1"/>
        </w:rPr>
        <w:t>encontra em harmonia com os preceitos constitucionais.</w:t>
      </w:r>
    </w:p>
    <w:p w:rsidR="0043016F" w:rsidP="003B55E5" w14:paraId="33E8A41B" w14:textId="21CF21E0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No que tange</w:t>
      </w:r>
      <w:r w:rsidRPr="00BD21FC" w:rsidR="00F96CC6">
        <w:rPr>
          <w:rFonts w:asciiTheme="minorHAnsi" w:hAnsiTheme="minorHAnsi" w:cstheme="minorHAnsi"/>
          <w:szCs w:val="24"/>
        </w:rPr>
        <w:t xml:space="preserve"> à </w:t>
      </w:r>
      <w:r w:rsidRPr="008D48C2" w:rsidR="00F96CC6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BD21FC" w:rsidR="00F96CC6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BD21FC" w:rsidR="00F96CC6">
        <w:rPr>
          <w:rFonts w:asciiTheme="minorHAnsi" w:hAnsiTheme="minorHAnsi" w:cstheme="minorHAnsi"/>
          <w:szCs w:val="24"/>
        </w:rPr>
        <w:t>trata-se</w:t>
      </w:r>
      <w:r w:rsidRPr="00BD21FC" w:rsidR="00F96CC6">
        <w:rPr>
          <w:rFonts w:asciiTheme="minorHAnsi" w:hAnsiTheme="minorHAnsi" w:cstheme="minorHAnsi"/>
          <w:szCs w:val="24"/>
        </w:rPr>
        <w:t xml:space="preserve"> de iniciativa privativa do Executivo</w:t>
      </w:r>
      <w:r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>
        <w:rPr>
          <w:rFonts w:asciiTheme="minorHAnsi" w:hAnsiTheme="minorHAnsi" w:cstheme="minorHAnsi"/>
          <w:i/>
          <w:szCs w:val="24"/>
        </w:rPr>
        <w:t>in verbis</w:t>
      </w:r>
      <w:r>
        <w:rPr>
          <w:rFonts w:asciiTheme="minorHAnsi" w:hAnsiTheme="minorHAnsi" w:cstheme="minorHAnsi"/>
          <w:szCs w:val="24"/>
        </w:rPr>
        <w:t>:</w:t>
      </w:r>
    </w:p>
    <w:p w:rsidR="0043016F" w:rsidRPr="0043016F" w:rsidP="0043016F" w14:paraId="71B87B58" w14:textId="1647C4CA">
      <w:pPr>
        <w:pStyle w:val="ListParagraph"/>
        <w:numPr>
          <w:ilvl w:val="0"/>
          <w:numId w:val="4"/>
        </w:numPr>
        <w:spacing w:after="80"/>
        <w:jc w:val="both"/>
        <w:rPr>
          <w:rFonts w:cstheme="minorHAnsi"/>
          <w:b/>
          <w:i/>
          <w:color w:val="000000"/>
        </w:rPr>
      </w:pPr>
      <w:r w:rsidRPr="0043016F">
        <w:rPr>
          <w:rFonts w:cstheme="minorHAnsi"/>
          <w:b/>
          <w:szCs w:val="24"/>
        </w:rPr>
        <w:t>Constituição Bandeirante</w:t>
      </w:r>
    </w:p>
    <w:p w:rsidR="0043016F" w:rsidRPr="004639D3" w:rsidP="0043016F" w14:paraId="60274E64" w14:textId="22535389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Artigo 24</w:t>
      </w:r>
      <w:r w:rsidRPr="004639D3">
        <w:rPr>
          <w:rFonts w:cstheme="minorHAnsi"/>
          <w:i/>
        </w:rPr>
        <w:t> </w:t>
      </w:r>
      <w:r w:rsidRPr="004639D3">
        <w:rPr>
          <w:rFonts w:cstheme="minorHAns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43016F" w:rsidRPr="004639D3" w:rsidP="0043016F" w14:paraId="5EF72905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[...]</w:t>
      </w:r>
    </w:p>
    <w:p w:rsidR="0043016F" w:rsidRPr="004639D3" w:rsidP="0043016F" w14:paraId="4AED84B9" w14:textId="77777777">
      <w:pPr>
        <w:pStyle w:val="paragrafo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43016F" w:rsidRPr="00B6446F" w:rsidP="0043016F" w14:paraId="15099A3B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bookmarkStart w:id="0" w:name="CESP_ART_024_2_1"/>
      <w:bookmarkEnd w:id="0"/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1</w:t>
      </w:r>
      <w:r w:rsidRPr="00B6446F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- criação e</w:t>
      </w:r>
      <w:r w:rsidRPr="00B6446F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extinção</w:t>
      </w:r>
      <w:r w:rsidRPr="00B6446F">
        <w:rPr>
          <w:rFonts w:asciiTheme="minorHAnsi" w:hAnsiTheme="minorHAnsi" w:cstheme="minorHAnsi"/>
          <w:b/>
          <w:i/>
          <w:sz w:val="22"/>
          <w:szCs w:val="22"/>
        </w:rPr>
        <w:t> </w:t>
      </w:r>
      <w:r w:rsidRPr="00B6446F">
        <w:rPr>
          <w:rFonts w:asciiTheme="minorHAnsi" w:hAnsiTheme="minorHAnsi" w:cstheme="minorHAnsi"/>
          <w:b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43016F" w:rsidRPr="004639D3" w:rsidP="0043016F" w14:paraId="2C6E87ED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" w:name="CESP_ART_024_2_2"/>
      <w:bookmarkEnd w:id="1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2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43016F" w:rsidRPr="004639D3" w:rsidP="0043016F" w14:paraId="2761554F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" w:name="CESP_ART_024_2_3"/>
      <w:bookmarkEnd w:id="2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organização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43016F" w:rsidRPr="004639D3" w:rsidP="0043016F" w14:paraId="5C1272BE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CESP_ART_024_2_4"/>
      <w:bookmarkEnd w:id="3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4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43016F" w:rsidRPr="004639D3" w:rsidP="0043016F" w14:paraId="4AC8C1F5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43016F" w:rsidP="0043016F" w14:paraId="12C5B32A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7E6E69" w:rsidP="0043016F" w14:paraId="3C0743E4" w14:textId="77777777">
      <w:pPr>
        <w:pStyle w:val="item"/>
        <w:spacing w:before="0" w:beforeAutospacing="0" w:after="8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43016F" w:rsidRPr="0043016F" w:rsidP="0043016F" w14:paraId="33E85CB5" w14:textId="762BC3FD">
      <w:pPr>
        <w:pStyle w:val="ListParagraph"/>
        <w:numPr>
          <w:ilvl w:val="0"/>
          <w:numId w:val="4"/>
        </w:numPr>
        <w:spacing w:after="80"/>
        <w:jc w:val="both"/>
        <w:rPr>
          <w:rFonts w:cstheme="minorHAnsi"/>
          <w:b/>
          <w:i/>
          <w:color w:val="000000"/>
        </w:rPr>
      </w:pPr>
      <w:r w:rsidRPr="0043016F">
        <w:rPr>
          <w:rFonts w:cstheme="minorHAnsi"/>
          <w:b/>
          <w:szCs w:val="24"/>
        </w:rPr>
        <w:t>Lei Orgânica de Valinhos</w:t>
      </w:r>
    </w:p>
    <w:p w:rsidR="0043016F" w:rsidRPr="004639D3" w:rsidP="0043016F" w14:paraId="16B2E199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Art. 48. Compete, exclusivamente, ao Prefeito a iniciativa dos projetos de lei que disponham sobre: </w:t>
      </w:r>
    </w:p>
    <w:p w:rsidR="0043016F" w:rsidRPr="00BE287F" w:rsidP="0043016F" w14:paraId="6785750F" w14:textId="77777777">
      <w:pPr>
        <w:spacing w:after="80"/>
        <w:ind w:left="2268"/>
        <w:jc w:val="both"/>
        <w:rPr>
          <w:rFonts w:cstheme="minorHAnsi"/>
          <w:b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I - criação e extinção de cargos, funções ou empregos públicos na administração direta e autárquica, </w:t>
      </w:r>
      <w:r w:rsidRPr="00BE287F">
        <w:rPr>
          <w:rFonts w:cstheme="minorHAnsi"/>
          <w:b/>
          <w:i/>
          <w:color w:val="000000"/>
        </w:rPr>
        <w:t>bem como a fixação da respectiva remuneração;</w:t>
      </w:r>
    </w:p>
    <w:p w:rsidR="0043016F" w:rsidRPr="004639D3" w:rsidP="0043016F" w14:paraId="05E8AF6C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 II - criação, estruturação e atribuições das Secretarias Municipais e órgãos da administração pública; </w:t>
      </w:r>
    </w:p>
    <w:p w:rsidR="0043016F" w:rsidRPr="004639D3" w:rsidP="0043016F" w14:paraId="4A9E7616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 xml:space="preserve">III - servidores públicos do Município, seu regime jurídico, provimento de cargos, estabilidade e aposentadoria; </w:t>
      </w:r>
    </w:p>
    <w:p w:rsidR="0043016F" w:rsidP="0043016F" w14:paraId="3C24F825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r w:rsidRPr="004639D3">
        <w:rPr>
          <w:rFonts w:cstheme="minorHAnsi"/>
          <w:i/>
          <w:color w:val="000000"/>
        </w:rPr>
        <w:t>IV - abertura de créditos adicionais.</w:t>
      </w:r>
    </w:p>
    <w:p w:rsidR="007E6E69" w:rsidRPr="004639D3" w:rsidP="0043016F" w14:paraId="717F4F04" w14:textId="77777777">
      <w:pPr>
        <w:spacing w:after="80"/>
        <w:ind w:left="2268"/>
        <w:jc w:val="both"/>
        <w:rPr>
          <w:rFonts w:cstheme="minorHAnsi"/>
          <w:i/>
          <w:color w:val="000000"/>
        </w:rPr>
      </w:pPr>
      <w:bookmarkStart w:id="4" w:name="_GoBack"/>
      <w:bookmarkEnd w:id="4"/>
    </w:p>
    <w:p w:rsidR="008D48C2" w:rsidRPr="00D578F4" w:rsidP="008D48C2" w14:paraId="1431C754" w14:textId="4640F04C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4"/>
        </w:rPr>
        <w:t xml:space="preserve">Nesse sentido, </w:t>
      </w:r>
      <w:r w:rsidRPr="00D578F4">
        <w:rPr>
          <w:rFonts w:asciiTheme="minorHAnsi" w:hAnsiTheme="minorHAnsi" w:cstheme="minorHAnsi"/>
        </w:rPr>
        <w:t>destacamos</w:t>
      </w:r>
      <w:r>
        <w:rPr>
          <w:rFonts w:asciiTheme="minorHAnsi" w:hAnsiTheme="minorHAnsi" w:cstheme="minorHAnsi"/>
        </w:rPr>
        <w:t xml:space="preserve"> o </w:t>
      </w:r>
      <w:r w:rsidRPr="00D36612">
        <w:rPr>
          <w:rFonts w:asciiTheme="minorHAnsi" w:hAnsiTheme="minorHAnsi" w:cstheme="minorHAnsi"/>
          <w:b/>
        </w:rPr>
        <w:t>TEMA 917 Repercussão geral</w:t>
      </w:r>
      <w:r w:rsidR="00D36612">
        <w:rPr>
          <w:rFonts w:asciiTheme="minorHAnsi" w:hAnsiTheme="minorHAnsi" w:cstheme="minorHAnsi"/>
        </w:rPr>
        <w:t xml:space="preserve"> (</w:t>
      </w:r>
      <w:r w:rsidRPr="008D48C2">
        <w:rPr>
          <w:rFonts w:asciiTheme="minorHAnsi" w:hAnsiTheme="minorHAnsi" w:cstheme="minorHAnsi"/>
        </w:rPr>
        <w:t>ARE 878911)</w:t>
      </w:r>
      <w:r w:rsidRPr="00D578F4">
        <w:rPr>
          <w:rFonts w:asciiTheme="minorHAnsi" w:hAnsiTheme="minorHAnsi" w:cstheme="minorHAnsi"/>
        </w:rPr>
        <w:t xml:space="preserve"> </w:t>
      </w:r>
      <w:r w:rsidRPr="008D48C2">
        <w:rPr>
          <w:rFonts w:asciiTheme="minorHAnsi" w:hAnsiTheme="minorHAnsi" w:cstheme="minorHAnsi"/>
        </w:rPr>
        <w:t>do Colendo Supremo Tribunal Federal que forneceu paradigma na arbitragem dos limites da competência legislativa entre o Chefe do Poder Executivo Municipal e os Membros do Poder Legislativo desta esfera federativa:</w:t>
      </w:r>
      <w:r w:rsidRPr="00D578F4">
        <w:rPr>
          <w:rFonts w:asciiTheme="minorHAnsi" w:hAnsiTheme="minorHAnsi" w:cstheme="minorHAnsi"/>
        </w:rPr>
        <w:tab/>
      </w:r>
    </w:p>
    <w:p w:rsidR="008D48C2" w:rsidRPr="00D578F4" w:rsidP="008D48C2" w14:paraId="54B8A360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D48C2" w:rsidP="008D48C2" w14:paraId="4A608D1D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 xml:space="preserve">municipal. Não ocorrência.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D578F4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D578F4">
        <w:rPr>
          <w:rFonts w:asciiTheme="minorHAnsi" w:hAnsiTheme="minorHAnsi" w:cstheme="minorHAnsi"/>
          <w:i/>
          <w:color w:val="auto"/>
          <w:sz w:val="22"/>
          <w:szCs w:val="22"/>
        </w:rPr>
        <w:t>a): Min</w:t>
      </w:r>
      <w:r w:rsidRPr="00D36612">
        <w:rPr>
          <w:rFonts w:asciiTheme="minorHAnsi" w:hAnsiTheme="minorHAnsi" w:cstheme="minorHAnsi"/>
          <w:i/>
          <w:color w:val="auto"/>
          <w:sz w:val="22"/>
          <w:szCs w:val="22"/>
        </w:rPr>
        <w:t xml:space="preserve">. GILMAR MENDES, julgado em 29/09/2016, PROCESSO ELETRÔNICO REPERCUSSÃO GERAL - MÉRITO DJe-217 DIVULG 10-10-2016 PUBLIC 11-10-2016 ) </w:t>
      </w:r>
    </w:p>
    <w:p w:rsidR="008D545A" w:rsidRPr="008D545A" w:rsidP="008D48C2" w14:paraId="27C60476" w14:textId="77777777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12"/>
          <w:szCs w:val="12"/>
        </w:rPr>
      </w:pPr>
    </w:p>
    <w:p w:rsidR="0043016F" w:rsidRPr="00D36612" w:rsidP="0043016F" w14:paraId="0F6D3993" w14:textId="77777777">
      <w:pPr>
        <w:spacing w:after="120" w:line="360" w:lineRule="auto"/>
        <w:ind w:right="57" w:firstLine="1701"/>
        <w:jc w:val="both"/>
        <w:rPr>
          <w:rFonts w:cstheme="minorHAnsi"/>
          <w:i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Noutro giro, verifica-se que o projeto em baila acarreta aumento de despesa obrigatória de caráter continuado devendo observar o disposto no art. 16 da Lei de Responsabilidade Fiscal (LRF), </w:t>
      </w:r>
      <w:r w:rsidRPr="00D36612">
        <w:rPr>
          <w:rFonts w:cstheme="minorHAnsi"/>
          <w:i/>
          <w:sz w:val="24"/>
          <w:szCs w:val="24"/>
        </w:rPr>
        <w:t>in verbis:</w:t>
      </w:r>
    </w:p>
    <w:p w:rsidR="0043016F" w:rsidRPr="00C430C7" w:rsidP="00D36612" w14:paraId="6C4679D7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Art. 16.</w:t>
      </w:r>
      <w:r w:rsidRPr="00C430C7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 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A criação, expansão ou aperfeiçoamento de ação governamental que acarrete aumento da despesa será acompanhado de:        </w:t>
      </w:r>
      <w:hyperlink r:id="rId6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ADI 6357)</w:t>
        </w:r>
      </w:hyperlink>
    </w:p>
    <w:p w:rsidR="0043016F" w:rsidRPr="00C430C7" w:rsidP="00D36612" w14:paraId="66BD2B35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5" w:name="art16i"/>
      <w:bookmarkEnd w:id="5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- 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estimativa do impacto orçamentário-financeiro no exercício em que deva entrar em vigor e nos dois 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subseqüentes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;</w:t>
      </w:r>
    </w:p>
    <w:p w:rsidR="0043016F" w:rsidRPr="00C430C7" w:rsidP="00D36612" w14:paraId="022F8512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6" w:name="art16ii"/>
      <w:bookmarkEnd w:id="6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II - 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declaração do ordenador da despesa de que o aumento tem adequação orçamentária e financeira com a lei orçamentária anual e compatibilidade com o plano plurianual e com a lei de diretrizes orçamentárias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43016F" w:rsidRPr="00C430C7" w:rsidP="00D36612" w14:paraId="7410BDD5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7" w:name="art16§1"/>
      <w:bookmarkEnd w:id="7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Para os fins desta Lei Complementar, considera-se:</w:t>
      </w:r>
    </w:p>
    <w:p w:rsidR="0043016F" w:rsidRPr="00C430C7" w:rsidP="00D36612" w14:paraId="414F7A5C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8" w:name="art16§1i"/>
      <w:bookmarkEnd w:id="8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 - adequada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43016F" w:rsidRPr="00C430C7" w:rsidP="00D36612" w14:paraId="2115EE12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9" w:name="art16§1ii"/>
      <w:bookmarkEnd w:id="9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II - compatível com o plano plurianual e a lei de diretrizes orçamentárias, a despesa que se conforme com as diretrizes, objetivos, prioridades e metas previstos nesses instrumentos e não infrinja qualquer de suas disposições.</w:t>
      </w:r>
    </w:p>
    <w:p w:rsidR="0043016F" w:rsidRPr="00C430C7" w:rsidP="00D36612" w14:paraId="615AE96D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0" w:name="art16§2"/>
      <w:bookmarkEnd w:id="10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 estimativa de que trata o inciso I do </w:t>
      </w:r>
      <w:r w:rsidRPr="00C43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caput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 será acompanhada das premissas e metodologia de 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cálculo utilizadas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43016F" w:rsidRPr="00C430C7" w:rsidP="00D36612" w14:paraId="77B9DFF9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1" w:name="art16§3"/>
      <w:bookmarkEnd w:id="11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3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Ressalva-se do disposto neste artigo a despesa considerada irrelevante, nos termos em que dispuser a lei de diretrizes orçamentárias.</w:t>
      </w:r>
    </w:p>
    <w:p w:rsidR="0043016F" w:rsidRPr="00C430C7" w:rsidP="00D36612" w14:paraId="30D24A72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2" w:name="art16§4"/>
      <w:bookmarkEnd w:id="12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4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As normas do </w:t>
      </w:r>
      <w:r w:rsidRPr="00C430C7">
        <w:rPr>
          <w:rFonts w:asciiTheme="minorHAnsi" w:hAnsiTheme="minorHAnsi" w:cstheme="minorHAnsi"/>
          <w:i/>
          <w:iCs/>
          <w:color w:val="000000"/>
          <w:sz w:val="22"/>
          <w:szCs w:val="22"/>
        </w:rPr>
        <w:t>caput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constituem condição prévia para:</w:t>
      </w:r>
    </w:p>
    <w:p w:rsidR="0043016F" w:rsidRPr="00C430C7" w:rsidP="00D36612" w14:paraId="0E7EBBFA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3" w:name="art16§4i"/>
      <w:bookmarkEnd w:id="13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 - empenho e licitação de serviços, fornecimento de bens ou execução de obras;</w:t>
      </w:r>
    </w:p>
    <w:p w:rsidR="0043016F" w:rsidRPr="00C430C7" w:rsidP="00D36612" w14:paraId="2EFE2104" w14:textId="77777777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4" w:name="art16§4ii"/>
      <w:bookmarkEnd w:id="14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II - desapropriação de imóveis urbanos a que se refere o </w:t>
      </w:r>
      <w:hyperlink r:id="rId7" w:anchor="art182%C2%A73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§ 3</w:t>
        </w:r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  <w:vertAlign w:val="superscript"/>
          </w:rPr>
          <w:t>o </w:t>
        </w:r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do art. 182 da Constituição</w:t>
        </w:r>
      </w:hyperlink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43016F" w:rsidRPr="00C430C7" w:rsidP="0043016F" w14:paraId="66455CF5" w14:textId="77777777">
      <w:pPr>
        <w:spacing w:after="120" w:line="360" w:lineRule="auto"/>
        <w:ind w:right="57" w:firstLine="1701"/>
        <w:jc w:val="both"/>
        <w:rPr>
          <w:rFonts w:cstheme="minorHAnsi"/>
          <w:szCs w:val="24"/>
        </w:rPr>
      </w:pPr>
    </w:p>
    <w:p w:rsidR="0043016F" w:rsidRPr="00D36612" w:rsidP="0043016F" w14:paraId="0E0C204A" w14:textId="77777777">
      <w:pPr>
        <w:spacing w:after="120" w:line="360" w:lineRule="auto"/>
        <w:ind w:right="57"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Quanto à </w:t>
      </w:r>
      <w:r w:rsidRPr="00D36612">
        <w:rPr>
          <w:rFonts w:cstheme="minorHAnsi"/>
          <w:sz w:val="24"/>
          <w:szCs w:val="24"/>
        </w:rPr>
        <w:t>definição de despesa obrigatória de caráter continuado</w:t>
      </w:r>
      <w:r w:rsidRPr="00D36612">
        <w:rPr>
          <w:rFonts w:cstheme="minorHAnsi"/>
          <w:sz w:val="24"/>
          <w:szCs w:val="24"/>
        </w:rPr>
        <w:t xml:space="preserve"> o art. 17 da LRF estabelece:</w:t>
      </w:r>
    </w:p>
    <w:p w:rsidR="0043016F" w:rsidRPr="00C430C7" w:rsidP="00D36612" w14:paraId="023F5EF9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Art. 17.</w:t>
      </w:r>
      <w:r w:rsidRPr="00C430C7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> 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</w:rPr>
        <w:t>Considera-se obrigatória de caráter continuado a despesa corrente derivada de lei, medida provisória ou ato administrativo normativo que fixem para o ente a obrigação legal de sua execução por um período superior a dois exercícios.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       </w:t>
      </w:r>
      <w:hyperlink r:id="rId6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ADI 6357)</w:t>
        </w:r>
      </w:hyperlink>
    </w:p>
    <w:p w:rsidR="0043016F" w:rsidRPr="00C430C7" w:rsidP="00D36612" w14:paraId="542B30C0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5" w:name="art17§1"/>
      <w:bookmarkEnd w:id="15"/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§ 1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 Os atos que criarem ou aumentarem despesa de que trata o </w:t>
      </w:r>
      <w:r w:rsidRPr="00C430C7">
        <w:rPr>
          <w:rFonts w:asciiTheme="minorHAnsi" w:hAnsiTheme="minorHAnsi" w:cstheme="minorHAnsi"/>
          <w:b/>
          <w:i/>
          <w:iCs/>
          <w:color w:val="000000"/>
          <w:sz w:val="22"/>
          <w:szCs w:val="22"/>
          <w:u w:val="single"/>
        </w:rPr>
        <w:t>caput</w:t>
      </w:r>
      <w:r w:rsidRPr="00C430C7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 deverão ser instruídos com a estimativa prevista no inciso I do art. 16 e demonstrar a origem dos recursos para seu custeio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     </w:t>
      </w:r>
      <w:hyperlink r:id="rId8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43016F" w:rsidRPr="00C430C7" w:rsidP="00D36612" w14:paraId="17FA1BBC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6" w:name="art17§2"/>
      <w:bookmarkEnd w:id="16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Para efeito do atendimento do 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o ato será acompanhado de comprovação de que a despesa criada ou aumentada não afetará as metas de resultados fiscais previstas no anexo referido no 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do art. 4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devendo seus efeitos financeiros, nos períodos seguintes, ser 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compensados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pelo aumento permanente de receita ou pela redução permanente de despesa.        </w:t>
      </w:r>
      <w:hyperlink r:id="rId8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43016F" w:rsidRPr="00C430C7" w:rsidP="00D36612" w14:paraId="7106A794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7" w:name="art17§3"/>
      <w:bookmarkEnd w:id="17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3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Para efeito do 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considera-se aumento permanente de receita o proveniente da elevação de alíquotas, ampliação da base de cálculo, majoração ou criação de tributo ou contribuição.      </w:t>
      </w:r>
      <w:hyperlink r:id="rId8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43016F" w:rsidRPr="00C430C7" w:rsidP="00D36612" w14:paraId="2757C005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8" w:name="art17§4"/>
      <w:bookmarkEnd w:id="18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4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 comprovação referida no 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apresentada pelo proponente, conterá as premissas e metodologia de 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cálculo utilizadas, sem prejuízo do exame de compatibilidade da despesa com as demais normas do plano plurianual e da lei de diretrizes orçamentárias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.       </w:t>
      </w:r>
      <w:hyperlink r:id="rId8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43016F" w:rsidRPr="00C430C7" w:rsidP="00D36612" w14:paraId="6C6E3EFB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9" w:name="art17§5"/>
      <w:bookmarkEnd w:id="19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5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A despesa de que trata este artigo não será executada antes da implementação das medidas referidas no § 2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, as quais integrarão o instrumento que a criar ou aumentar.      </w:t>
      </w:r>
      <w:hyperlink r:id="rId8" w:anchor="art7" w:history="1">
        <w:r w:rsidRPr="00C430C7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(Vide Lei Complementar nº 176, de 2020)</w:t>
        </w:r>
      </w:hyperlink>
    </w:p>
    <w:p w:rsidR="0043016F" w:rsidRPr="00C430C7" w:rsidP="00D36612" w14:paraId="5C7301BE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0" w:name="art17§6"/>
      <w:bookmarkEnd w:id="20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6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O disposto no § 1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não se aplica às despesas destinadas ao serviço da dívida nem ao reajustamento de remuneração de pessoal de que trata o inciso X do art. 37 da Constituição.</w:t>
      </w:r>
    </w:p>
    <w:p w:rsidR="0043016F" w:rsidP="00D36612" w14:paraId="4316B8DB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1" w:name="art17§7"/>
      <w:bookmarkEnd w:id="21"/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§ 7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  <w:u w:val="single"/>
          <w:vertAlign w:val="superscript"/>
        </w:rPr>
        <w:t>o</w:t>
      </w:r>
      <w:r w:rsidRPr="00C430C7">
        <w:rPr>
          <w:rFonts w:asciiTheme="minorHAnsi" w:hAnsiTheme="minorHAnsi" w:cstheme="minorHAnsi"/>
          <w:i/>
          <w:color w:val="000000"/>
          <w:sz w:val="22"/>
          <w:szCs w:val="22"/>
        </w:rPr>
        <w:t> Considera-se aumento de despesa a prorrogação daquela criada por prazo determinado.</w:t>
      </w:r>
    </w:p>
    <w:p w:rsidR="0043016F" w:rsidRPr="00F078B3" w:rsidP="0043016F" w14:paraId="59BE7370" w14:textId="77777777">
      <w:pPr>
        <w:pStyle w:val="NormalWeb"/>
        <w:spacing w:before="240" w:beforeAutospacing="0" w:after="240" w:afterAutospacing="0"/>
        <w:ind w:left="2268"/>
        <w:jc w:val="both"/>
        <w:rPr>
          <w:rFonts w:asciiTheme="minorHAnsi" w:hAnsiTheme="minorHAnsi" w:cstheme="minorHAnsi"/>
          <w:i/>
          <w:color w:val="000000"/>
          <w:sz w:val="4"/>
          <w:szCs w:val="4"/>
        </w:rPr>
      </w:pPr>
    </w:p>
    <w:p w:rsidR="0043016F" w:rsidRPr="00D36612" w:rsidP="008D545A" w14:paraId="7A5F6D45" w14:textId="77777777">
      <w:pPr>
        <w:spacing w:before="120" w:after="120" w:line="360" w:lineRule="auto"/>
        <w:ind w:right="57" w:firstLine="1701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36612">
        <w:rPr>
          <w:rFonts w:cstheme="minorHAnsi"/>
          <w:color w:val="000000"/>
          <w:sz w:val="24"/>
          <w:szCs w:val="24"/>
          <w:shd w:val="clear" w:color="auto" w:fill="FFFFFF"/>
        </w:rPr>
        <w:t>Outrossim</w:t>
      </w:r>
      <w:r w:rsidRPr="00D36612">
        <w:rPr>
          <w:rFonts w:cstheme="minorHAnsi"/>
          <w:color w:val="000000"/>
          <w:sz w:val="24"/>
          <w:szCs w:val="24"/>
          <w:shd w:val="clear" w:color="auto" w:fill="FFFFFF"/>
        </w:rPr>
        <w:t xml:space="preserve">, cumpre atentar para o disposto no art. 15 da LRF, </w:t>
      </w:r>
      <w:r w:rsidRPr="00D36612">
        <w:rPr>
          <w:rFonts w:cstheme="minorHAnsi"/>
          <w:i/>
          <w:color w:val="000000"/>
          <w:sz w:val="24"/>
          <w:szCs w:val="24"/>
          <w:shd w:val="clear" w:color="auto" w:fill="FFFFFF"/>
        </w:rPr>
        <w:t>in verbis</w:t>
      </w:r>
      <w:r w:rsidRPr="00D36612">
        <w:rPr>
          <w:rFonts w:cstheme="minorHAnsi"/>
          <w:color w:val="000000"/>
          <w:sz w:val="24"/>
          <w:szCs w:val="24"/>
          <w:shd w:val="clear" w:color="auto" w:fill="FFFFFF"/>
        </w:rPr>
        <w:t>:</w:t>
      </w:r>
    </w:p>
    <w:p w:rsidR="0043016F" w:rsidRPr="00C430C7" w:rsidP="008D545A" w14:paraId="39EFEB40" w14:textId="77777777">
      <w:pPr>
        <w:spacing w:before="120" w:after="120"/>
        <w:ind w:left="2268" w:right="57"/>
        <w:jc w:val="both"/>
        <w:rPr>
          <w:rFonts w:cstheme="minorHAnsi"/>
          <w:i/>
        </w:rPr>
      </w:pPr>
      <w:r w:rsidRPr="00C430C7">
        <w:rPr>
          <w:rFonts w:cstheme="minorHAnsi"/>
          <w:i/>
          <w:color w:val="000000"/>
          <w:shd w:val="clear" w:color="auto" w:fill="FFFFFF"/>
        </w:rPr>
        <w:t>Art. 15.</w:t>
      </w:r>
      <w:r w:rsidRPr="00C430C7">
        <w:rPr>
          <w:rFonts w:cstheme="minorHAnsi"/>
          <w:b/>
          <w:bCs/>
          <w:i/>
          <w:color w:val="000000"/>
          <w:shd w:val="clear" w:color="auto" w:fill="FFFFFF"/>
        </w:rPr>
        <w:t> </w:t>
      </w:r>
      <w:r w:rsidRPr="00C430C7">
        <w:rPr>
          <w:rFonts w:cstheme="minorHAnsi"/>
          <w:i/>
          <w:color w:val="000000"/>
          <w:shd w:val="clear" w:color="auto" w:fill="FFFFFF"/>
        </w:rPr>
        <w:t>Serão</w:t>
      </w:r>
      <w:r w:rsidRPr="00C430C7">
        <w:rPr>
          <w:rFonts w:cstheme="minorHAnsi"/>
          <w:i/>
          <w:color w:val="000000"/>
          <w:shd w:val="clear" w:color="auto" w:fill="FFFFFF"/>
        </w:rPr>
        <w:t xml:space="preserve"> consideradas não autorizadas, irregulares e lesivas ao patrimônio público a geração de despesa ou assunção de obrigação que não atendam o disposto nos arts. 16 e 17.</w:t>
      </w:r>
    </w:p>
    <w:p w:rsidR="0043016F" w:rsidRPr="00D36612" w:rsidP="0043016F" w14:paraId="4420C167" w14:textId="77777777">
      <w:pPr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Do mesmo modo, impende ressaltar recente posicionamento do Supremo Tribunal Federal acerca da extensão da aplicação do art. 113, do Ato das Disposições Constitucionais Transitórias (ADCT) aos Estados e Municípios, estabelecendo a necessidade de apresentação de estimativa do impacto orçamentário e financeiro nas proposições legislativas que criem ou alterem despesa obrigatória ou renúncia de receita, </w:t>
      </w:r>
      <w:r w:rsidRPr="00D36612">
        <w:rPr>
          <w:rFonts w:cstheme="minorHAnsi"/>
          <w:i/>
          <w:sz w:val="24"/>
          <w:szCs w:val="24"/>
        </w:rPr>
        <w:t>in verbis:</w:t>
      </w:r>
    </w:p>
    <w:p w:rsidR="0043016F" w:rsidP="007E6E69" w14:paraId="37A86D60" w14:textId="77777777">
      <w:pPr>
        <w:spacing w:after="0"/>
        <w:ind w:left="2268"/>
        <w:jc w:val="both"/>
        <w:rPr>
          <w:rFonts w:cstheme="minorHAnsi"/>
        </w:rPr>
      </w:pPr>
      <w:r w:rsidRPr="00E10409">
        <w:rPr>
          <w:rFonts w:cstheme="minorHAnsi"/>
          <w:i/>
          <w:iCs/>
        </w:rPr>
        <w:t xml:space="preserve">Art. 113. </w:t>
      </w:r>
      <w:r w:rsidRPr="00E10409">
        <w:rPr>
          <w:rFonts w:cstheme="minorHAnsi"/>
          <w:b/>
          <w:bCs/>
          <w:i/>
          <w:iCs/>
        </w:rPr>
        <w:t>A proposição legislativa</w:t>
      </w:r>
      <w:r w:rsidRPr="00E10409">
        <w:rPr>
          <w:rFonts w:cstheme="minorHAnsi"/>
          <w:i/>
          <w:iCs/>
        </w:rPr>
        <w:t xml:space="preserve"> </w:t>
      </w:r>
      <w:r w:rsidRPr="00E10409">
        <w:rPr>
          <w:rFonts w:cstheme="minorHAnsi"/>
          <w:b/>
          <w:i/>
          <w:iCs/>
        </w:rPr>
        <w:t>que crie ou altere despesa obrigatória</w:t>
      </w:r>
      <w:r w:rsidRPr="00E10409">
        <w:rPr>
          <w:rFonts w:cstheme="minorHAnsi"/>
          <w:i/>
          <w:iCs/>
        </w:rPr>
        <w:t xml:space="preserve"> ou </w:t>
      </w:r>
      <w:r w:rsidRPr="00E10409">
        <w:rPr>
          <w:rFonts w:cstheme="minorHAnsi"/>
          <w:bCs/>
          <w:i/>
          <w:iCs/>
        </w:rPr>
        <w:t>renúncia de receita</w:t>
      </w:r>
      <w:r w:rsidRPr="00E10409">
        <w:rPr>
          <w:rFonts w:cstheme="minorHAnsi"/>
          <w:b/>
          <w:bCs/>
          <w:i/>
          <w:iCs/>
        </w:rPr>
        <w:t xml:space="preserve"> deverá ser acompanhada da estimativa do seu impacto orçamentário e financeiro</w:t>
      </w:r>
      <w:r w:rsidRPr="00E10409">
        <w:rPr>
          <w:rFonts w:cstheme="minorHAnsi"/>
          <w:i/>
          <w:iCs/>
        </w:rPr>
        <w:t>. (Incluído pela Emenda Constitucional nº 95, de 2016</w:t>
      </w:r>
      <w:r w:rsidRPr="00E10409">
        <w:rPr>
          <w:rFonts w:cstheme="minorHAnsi"/>
        </w:rPr>
        <w:t>)</w:t>
      </w:r>
    </w:p>
    <w:p w:rsidR="007E6E69" w:rsidRPr="00E10409" w:rsidP="008D545A" w14:paraId="7DC449FB" w14:textId="77777777">
      <w:pPr>
        <w:spacing w:after="0" w:line="240" w:lineRule="auto"/>
        <w:ind w:left="2268"/>
        <w:jc w:val="both"/>
        <w:rPr>
          <w:rFonts w:cstheme="minorHAnsi"/>
        </w:rPr>
      </w:pPr>
    </w:p>
    <w:p w:rsidR="0043016F" w:rsidRPr="00D36612" w:rsidP="0043016F" w14:paraId="5378D75D" w14:textId="77777777">
      <w:pPr>
        <w:spacing w:after="240" w:line="360" w:lineRule="auto"/>
        <w:ind w:firstLine="1701"/>
        <w:jc w:val="both"/>
        <w:rPr>
          <w:rStyle w:val="Hyperlink"/>
          <w:rFonts w:cstheme="minorHAnsi"/>
          <w:i/>
          <w:color w:val="auto"/>
          <w:sz w:val="24"/>
          <w:szCs w:val="24"/>
        </w:rPr>
      </w:pPr>
      <w:r w:rsidRPr="00D36612">
        <w:rPr>
          <w:rFonts w:cstheme="minorHAnsi"/>
          <w:sz w:val="24"/>
          <w:szCs w:val="24"/>
        </w:rPr>
        <w:t xml:space="preserve">Vejamos algumas decisões da Suprema Corte acerca do tema: </w:t>
      </w:r>
      <w:r w:rsidRPr="00D36612">
        <w:rPr>
          <w:rFonts w:cstheme="minorHAnsi"/>
          <w:i/>
          <w:sz w:val="24"/>
          <w:szCs w:val="24"/>
        </w:rPr>
        <w:fldChar w:fldCharType="begin"/>
      </w:r>
      <w:r w:rsidRPr="00D36612">
        <w:rPr>
          <w:rFonts w:cstheme="minorHAnsi"/>
          <w:i/>
          <w:sz w:val="24"/>
          <w:szCs w:val="24"/>
        </w:rPr>
        <w:instrText xml:space="preserve"> HYPERLINK "https://jurisprudencia.stf.jus.br/pages/search/sjur454022/false" </w:instrText>
      </w:r>
      <w:r w:rsidRPr="00D36612">
        <w:rPr>
          <w:rFonts w:cstheme="minorHAnsi"/>
          <w:i/>
          <w:sz w:val="24"/>
          <w:szCs w:val="24"/>
        </w:rPr>
        <w:fldChar w:fldCharType="separate"/>
      </w:r>
    </w:p>
    <w:p w:rsidR="0043016F" w:rsidRPr="00D36612" w:rsidP="0043016F" w14:paraId="5DEADC4E" w14:textId="77777777">
      <w:pPr>
        <w:pStyle w:val="Heading4"/>
        <w:spacing w:before="0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  <w:u w:val="single"/>
        </w:rPr>
        <w:t>ADI 6118</w:t>
      </w:r>
    </w:p>
    <w:p w:rsidR="007E6E69" w:rsidP="008D545A" w14:paraId="6BB9E460" w14:textId="77777777">
      <w:pPr>
        <w:spacing w:after="0" w:line="240" w:lineRule="auto"/>
        <w:ind w:left="2268"/>
        <w:jc w:val="both"/>
        <w:rPr>
          <w:rFonts w:cstheme="minorHAnsi"/>
          <w:i/>
        </w:rPr>
      </w:pPr>
      <w:r w:rsidRPr="00D36612">
        <w:rPr>
          <w:rFonts w:cstheme="minorHAnsi"/>
          <w:i/>
        </w:rPr>
        <w:fldChar w:fldCharType="end"/>
      </w:r>
    </w:p>
    <w:p w:rsidR="0043016F" w:rsidRPr="00D36612" w:rsidP="008D545A" w14:paraId="60E444A2" w14:textId="557B3461">
      <w:pPr>
        <w:spacing w:after="0" w:line="240" w:lineRule="auto"/>
        <w:ind w:left="2268"/>
        <w:jc w:val="both"/>
        <w:rPr>
          <w:rFonts w:cstheme="minorHAnsi"/>
          <w:i/>
        </w:rPr>
      </w:pPr>
      <w:r w:rsidRPr="00D36612">
        <w:rPr>
          <w:rFonts w:cstheme="minorHAnsi"/>
        </w:rPr>
        <w:t>Órgão julgador: </w:t>
      </w:r>
      <w:r w:rsidRPr="00D36612">
        <w:rPr>
          <w:rFonts w:cstheme="minorHAnsi"/>
          <w:b/>
          <w:bCs/>
        </w:rPr>
        <w:t>Tribunal Pleno</w:t>
      </w:r>
    </w:p>
    <w:p w:rsidR="0043016F" w:rsidRPr="00D36612" w:rsidP="008D545A" w14:paraId="3029EC38" w14:textId="77777777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Relator(</w:t>
      </w:r>
      <w:r w:rsidRPr="00D36612">
        <w:rPr>
          <w:rFonts w:asciiTheme="minorHAnsi" w:hAnsiTheme="minorHAnsi" w:cstheme="minorHAnsi"/>
          <w:color w:val="auto"/>
        </w:rPr>
        <w:t>a):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Min. EDSON FACHIN</w:t>
      </w:r>
    </w:p>
    <w:p w:rsidR="0043016F" w:rsidRPr="00D36612" w:rsidP="008D545A" w14:paraId="5357F35D" w14:textId="77777777">
      <w:pPr>
        <w:pStyle w:val="Heading4"/>
        <w:spacing w:before="0" w:line="240" w:lineRule="auto"/>
        <w:ind w:left="2268" w:right="300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Julgamento: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28/06/2021</w:t>
      </w:r>
    </w:p>
    <w:p w:rsidR="0043016F" w:rsidRPr="00D36612" w:rsidP="008D545A" w14:paraId="70201A83" w14:textId="77777777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Publicação: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06/10/2021</w:t>
      </w:r>
    </w:p>
    <w:p w:rsidR="0043016F" w:rsidRPr="00D36612" w:rsidP="0043016F" w14:paraId="6EF65437" w14:textId="77777777">
      <w:pPr>
        <w:pStyle w:val="Heading4"/>
        <w:spacing w:before="0" w:after="60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Ementa</w:t>
      </w:r>
    </w:p>
    <w:p w:rsidR="0043016F" w:rsidP="0043016F" w14:paraId="7B09A93A" w14:textId="77777777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>Ementa: AÇÃO DIRETA DE INCONSTITUCIONALIDADE. DIREITO FINANCEIRO. LEI N.º 1.238, DE 22 DE JANEIRO DE 2018, DO ESTADO DE RORAIMA. PLANO DE CARGOS, CARREIRAS E REMUNERAÇÕES DOS SERVIDORES DA AGÊNCIA DE DEFESA AGROPECUÁRIA. ALEGAÇÃO DE OFENSA AOS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ARTIGOS</w:t>
      </w:r>
      <w:r w:rsidRPr="00C430C7">
        <w:rPr>
          <w:rFonts w:asciiTheme="minorHAnsi" w:hAnsiTheme="minorHAnsi" w:cstheme="minorHAnsi"/>
          <w:i/>
          <w:sz w:val="22"/>
          <w:szCs w:val="22"/>
        </w:rPr>
        <w:t> 169, § 1º, DA CONSTITUIÇÃO FEDERAL, E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113 DO</w:t>
      </w:r>
      <w:r w:rsidRPr="00C430C7">
        <w:rPr>
          <w:rFonts w:asciiTheme="minorHAnsi" w:hAnsiTheme="minorHAnsi" w:cstheme="minorHAnsi"/>
          <w:i/>
          <w:sz w:val="22"/>
          <w:szCs w:val="22"/>
        </w:rPr>
        <w:t> ATO DAS DISPOSIÇÕES CONSTITUCIONAIS TRANSITÓRIAS –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. A AUSÊNCIA DE PRÉVIA DOTAÇÃO ORÇAMENTÁRIA NÃO IMPLICA INCONSTITUCIONALIDADE. IMPEDIMENTO DE APLICAÇÃO DA LEI CONCESSIVA DE VANTAGEM OU AUMENTO DE REMUNERAÇÃO A SERVIDORES PÚBLICOS NO RESPECTIVO EXERCÍCIO FINANCEIRO. NÃO CONHECIMENTO DA AÇÃO DIRETA QUANTO À SUPOSTA VIOLAÇÃO </w:t>
      </w:r>
      <w:r w:rsidRPr="00C430C7">
        <w:rPr>
          <w:rFonts w:asciiTheme="minorHAnsi" w:hAnsiTheme="minorHAnsi" w:cstheme="minorHAnsi"/>
          <w:i/>
          <w:sz w:val="22"/>
          <w:szCs w:val="22"/>
        </w:rPr>
        <w:t>DO ARTIGO 169, § 1º, DA CRFB. 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 DO ADCT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DIRIGE-SE A TODOS OS ENTES FEDERATIVOS. AUSÊNCIA DE ESTIMATIVA DE IMPACTO ORÇAMENTÁRIO E FINANCEIRO DA LEI IMPUGNADA. INCONSTITUCIONALIDADE FORMAL. CONHECIMENTO PARCIAL DA AÇÃO E, NA PARTE CONHECIDA, JULGADO PROCEDENTE O PEDIDO. MODULAÇÃO DOS EFEITOS DA DECISÃO. </w:t>
      </w:r>
    </w:p>
    <w:p w:rsidR="0043016F" w:rsidP="0043016F" w14:paraId="3CAE21F6" w14:textId="77777777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1. A jurisprudência desta Casa firmou-se no sentido de que a ausência de dotação orçamentária prévia apenas impede a aplicação da legislação que implique aumento de despesa no respectivo exercício financeiro, sem que disso decorra a declaração de sua inconstitucionalidade. Precedentes. Ação direta não conhecida quanto à suposta violação do artigo 169, § 1º, da Constituição Federal. </w:t>
      </w:r>
    </w:p>
    <w:p w:rsidR="0043016F" w:rsidP="0043016F" w14:paraId="7F59B900" w14:textId="77777777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2.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 do ADCT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 estende-se a todos os entes federativos. Precedentes.</w:t>
      </w:r>
    </w:p>
    <w:p w:rsidR="0043016F" w:rsidP="0043016F" w14:paraId="301B1EA6" w14:textId="77777777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 3. </w:t>
      </w:r>
      <w:r w:rsidRPr="00C430C7">
        <w:rPr>
          <w:rFonts w:asciiTheme="minorHAnsi" w:hAnsiTheme="minorHAnsi" w:cstheme="minorHAnsi"/>
          <w:i/>
          <w:sz w:val="22"/>
          <w:szCs w:val="22"/>
        </w:rPr>
        <w:t>A normas impugnadas tratam de Plano de Cargos, Carreiras e Remuneração dos Servidores da Agência de Defesa Agropecuária do Estado de Roraima”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, instituindo mobilidade na carreira, prevendo cargos de provimento efetivo e em comissão, remuneração para o regime de plantão, progressão horizontal e vertical, concessão de adicionais de interiorização, de qualificação, de fiscalização e de </w:t>
      </w:r>
      <w:r w:rsidRPr="00C430C7">
        <w:rPr>
          <w:rFonts w:asciiTheme="minorHAnsi" w:hAnsiTheme="minorHAnsi" w:cstheme="minorHAnsi"/>
          <w:i/>
          <w:sz w:val="22"/>
          <w:szCs w:val="22"/>
        </w:rPr>
        <w:t>penosidade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, além de fixar o vencimento básico, e normas conexas à sua efetivação.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A lei, porém, não foi instruída com a devida estimativa do seu impacto financeiro e orçamentário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43016F" w:rsidP="0043016F" w14:paraId="1B73A4A4" w14:textId="77777777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4. Considerando que a norma produziu efeitos e permitiu o pagamento de verbas de natureza alimentar e considerando a dúvida inicial quanto ao alcance da norma da Constituição Federal, presentes os requisitos do art. 27 da Lei n.º 9.868/99, de modo que, a fim de preservar a segurança jurídica, propõe-se a modulação dos efeitos da declaração de inconstitucionalidade a partir da data da publicação da ata do presente julgamento. </w:t>
      </w:r>
    </w:p>
    <w:p w:rsidR="0043016F" w:rsidP="0043016F" w14:paraId="3E7FF55B" w14:textId="77777777">
      <w:pPr>
        <w:pStyle w:val="jud-text"/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5. Ação direta parcialmente conhecida e, na parte conhecida, pedido julgado procedente, a fim de declarar inconstitucionais os artigos 4º, incisos II e IV; 6º, parágrafo único; 8º; 10 a 13; 19 a 21; 26; 28 a 30; 32 a 34; 36; 37; 39 a 49; 55 a 57; e os Anexos I a III, todos da Lei nº 1.238, de 22 de janeiro de 2018, do Estado de Roraima, com efeitos </w:t>
      </w:r>
      <w:r w:rsidRPr="00C430C7">
        <w:rPr>
          <w:rFonts w:asciiTheme="minorHAnsi" w:hAnsiTheme="minorHAnsi" w:cstheme="minorHAnsi"/>
          <w:i/>
          <w:sz w:val="22"/>
          <w:szCs w:val="22"/>
        </w:rPr>
        <w:t>ex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 nunc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43016F" w:rsidP="0043016F" w14:paraId="4DF46C5D" w14:textId="77777777">
      <w:pPr>
        <w:pStyle w:val="jud-text"/>
        <w:pBdr>
          <w:bottom w:val="single" w:sz="12" w:space="1" w:color="auto"/>
        </w:pBdr>
        <w:spacing w:before="75" w:beforeAutospacing="0" w:after="75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E6E69" w:rsidP="0043016F" w14:paraId="729550AA" w14:textId="77777777">
      <w:pPr>
        <w:ind w:left="2268"/>
        <w:jc w:val="both"/>
        <w:rPr>
          <w:rFonts w:cstheme="minorHAnsi"/>
          <w:b/>
          <w:i/>
          <w:u w:val="single"/>
        </w:rPr>
      </w:pPr>
    </w:p>
    <w:p w:rsidR="007E6E69" w:rsidP="0043016F" w14:paraId="65448B62" w14:textId="77777777">
      <w:pPr>
        <w:ind w:left="2268"/>
        <w:jc w:val="both"/>
        <w:rPr>
          <w:rFonts w:cstheme="minorHAnsi"/>
          <w:b/>
          <w:i/>
          <w:u w:val="single"/>
        </w:rPr>
      </w:pPr>
    </w:p>
    <w:p w:rsidR="007E6E69" w:rsidP="0043016F" w14:paraId="11A411BC" w14:textId="77777777">
      <w:pPr>
        <w:ind w:left="2268"/>
        <w:jc w:val="both"/>
        <w:rPr>
          <w:rFonts w:cstheme="minorHAnsi"/>
          <w:b/>
          <w:i/>
          <w:u w:val="single"/>
        </w:rPr>
      </w:pPr>
    </w:p>
    <w:p w:rsidR="0043016F" w:rsidP="0043016F" w14:paraId="2BFB6A0C" w14:textId="77777777">
      <w:pPr>
        <w:ind w:left="2268"/>
        <w:jc w:val="both"/>
        <w:rPr>
          <w:rFonts w:cstheme="minorHAnsi"/>
          <w:b/>
          <w:i/>
          <w:u w:val="single"/>
        </w:rPr>
      </w:pPr>
      <w:r w:rsidRPr="00E10409">
        <w:rPr>
          <w:rFonts w:cstheme="minorHAnsi"/>
          <w:b/>
          <w:i/>
          <w:u w:val="single"/>
        </w:rPr>
        <w:t>ADI 6102</w:t>
      </w:r>
    </w:p>
    <w:p w:rsidR="0043016F" w:rsidRPr="00D36612" w:rsidP="008D545A" w14:paraId="600442D3" w14:textId="77777777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Órgão julgador: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Tribunal Pleno</w:t>
      </w:r>
    </w:p>
    <w:p w:rsidR="0043016F" w:rsidRPr="00D36612" w:rsidP="008D545A" w14:paraId="1E848F91" w14:textId="77777777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Relator(</w:t>
      </w:r>
      <w:r w:rsidRPr="00D36612">
        <w:rPr>
          <w:rFonts w:asciiTheme="minorHAnsi" w:hAnsiTheme="minorHAnsi" w:cstheme="minorHAnsi"/>
          <w:color w:val="auto"/>
        </w:rPr>
        <w:t>a):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Min. ROSA WEBER</w:t>
      </w:r>
    </w:p>
    <w:p w:rsidR="0043016F" w:rsidRPr="00D36612" w:rsidP="008D545A" w14:paraId="5E846B44" w14:textId="77777777">
      <w:pPr>
        <w:pStyle w:val="Heading4"/>
        <w:spacing w:before="0" w:line="240" w:lineRule="auto"/>
        <w:ind w:left="2268" w:right="300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Julgamento: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21/12/2020</w:t>
      </w:r>
    </w:p>
    <w:p w:rsidR="0043016F" w:rsidRPr="00D36612" w:rsidP="008D545A" w14:paraId="1913F562" w14:textId="77777777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Publicação: </w:t>
      </w:r>
      <w:r w:rsidRPr="00D36612">
        <w:rPr>
          <w:rFonts w:asciiTheme="minorHAnsi" w:hAnsiTheme="minorHAnsi" w:cstheme="minorHAnsi"/>
          <w:b w:val="0"/>
          <w:bCs w:val="0"/>
          <w:color w:val="auto"/>
        </w:rPr>
        <w:t>10/02/2021</w:t>
      </w:r>
    </w:p>
    <w:p w:rsidR="0043016F" w:rsidRPr="00D36612" w:rsidP="0043016F" w14:paraId="3F0CE4BC" w14:textId="77777777">
      <w:pPr>
        <w:pStyle w:val="Heading4"/>
        <w:spacing w:before="0" w:after="60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D36612">
        <w:rPr>
          <w:rFonts w:asciiTheme="minorHAnsi" w:hAnsiTheme="minorHAnsi" w:cstheme="minorHAnsi"/>
          <w:color w:val="auto"/>
        </w:rPr>
        <w:t>Ementa</w:t>
      </w:r>
    </w:p>
    <w:p w:rsidR="00D36612" w:rsidRPr="00C430C7" w:rsidP="0043016F" w14:paraId="0FED4DE9" w14:textId="444F7C49">
      <w:pPr>
        <w:pStyle w:val="jud-text"/>
        <w:pBdr>
          <w:bottom w:val="single" w:sz="12" w:space="1" w:color="auto"/>
        </w:pBdr>
        <w:spacing w:before="75" w:beforeAutospacing="0" w:after="75" w:afterAutospacing="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430C7">
        <w:rPr>
          <w:rFonts w:asciiTheme="minorHAnsi" w:hAnsiTheme="minorHAnsi" w:cstheme="minorHAnsi"/>
          <w:i/>
          <w:sz w:val="22"/>
          <w:szCs w:val="22"/>
        </w:rPr>
        <w:t xml:space="preserve">EMENTA AÇÃO DIRETA DE INCONSTITUCIONALIDADE. DIREITO FINANCEIRO. LEI Nº 1.237, DE 22 DE JANEIRO DE 2018, DO ESTADO DE RORAIMA.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PLANO DE CARGOS, CARREIRAS E REMUNERAÇÕES DOS SERVIDORES PÚBLICOS EFETIVOS DA ÁREA ADMINISTRATIVA DA UNIVERSIDADE ESTADUAL DE RORAIMA – UERR.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 ALEGAÇÃO DE OFENSA AOS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ARTIGOS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FEDERAL, E  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113</w:t>
      </w:r>
      <w:r w:rsidRPr="00C430C7">
        <w:rPr>
          <w:rFonts w:asciiTheme="minorHAnsi" w:hAnsiTheme="minorHAnsi" w:cstheme="minorHAnsi"/>
          <w:i/>
          <w:sz w:val="22"/>
          <w:szCs w:val="22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ATO DAS DISPOSIÇÕES CONSTITUCIONAIS TRANSITÓRIAS</w:t>
      </w:r>
      <w:r w:rsidRPr="00C430C7">
        <w:rPr>
          <w:rFonts w:asciiTheme="minorHAnsi" w:hAnsiTheme="minorHAnsi" w:cstheme="minorHAnsi"/>
          <w:i/>
          <w:sz w:val="22"/>
          <w:szCs w:val="22"/>
        </w:rPr>
        <w:t> –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C430C7">
        <w:rPr>
          <w:rFonts w:asciiTheme="minorHAnsi" w:hAnsiTheme="minorHAnsi" w:cstheme="minorHAnsi"/>
          <w:i/>
          <w:sz w:val="22"/>
          <w:szCs w:val="22"/>
        </w:rPr>
        <w:t>. A AUSÊNCIA DE PRÉVIA DOTAÇÃO ORÇAMENTÁRIA NÃO IMPLICA INCONSTITUCIONALIDADE. IMPEDIMENTO DE APLICAÇÃO DA LEI CONCESSIVA DE VANTAGEM OU AUMENTO DE REMUNERAÇÃO A SERVIDORES PÚBLICOS NO RESPECTIVO EXERCÍCIO FINANCEIRO. NÃO CONHECIMENTO DA AÇÃO DIRETA QUANTO À SUPOSTA VIOLAÇÃO DO </w:t>
      </w:r>
      <w:r w:rsidRPr="00C430C7">
        <w:rPr>
          <w:rStyle w:val="Emphasis"/>
          <w:rFonts w:asciiTheme="minorHAnsi" w:hAnsiTheme="minorHAnsi" w:cstheme="minorHAnsi"/>
          <w:bCs/>
          <w:sz w:val="22"/>
          <w:szCs w:val="22"/>
        </w:rPr>
        <w:t>ARTIGO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FEDERAL. 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C430C7">
        <w:rPr>
          <w:rFonts w:asciiTheme="minorHAnsi" w:hAnsiTheme="minorHAnsi" w:cstheme="minorHAnsi"/>
          <w:b/>
          <w:i/>
          <w:sz w:val="22"/>
          <w:szCs w:val="22"/>
        </w:rPr>
        <w:t xml:space="preserve"> DIRIGE-SE A TODOS OS ENTES FEDERATIVOS. AUSÊNCIA DE ESTIMATIVA DE IMPACTO ORÇAMENTÁRIO E FINANCEIRO DA LEI IMPUGNADA. INCONSTITUCIONALIDADE FORMAL. </w:t>
      </w:r>
      <w:r w:rsidRPr="00C430C7">
        <w:rPr>
          <w:rFonts w:asciiTheme="minorHAnsi" w:hAnsiTheme="minorHAnsi" w:cstheme="minorHAnsi"/>
          <w:i/>
          <w:sz w:val="22"/>
          <w:szCs w:val="22"/>
        </w:rPr>
        <w:t>CONHECIMENTO PARCIAL DA AÇÃO E, NA PARTE CONHECIDA, JULGADO PROCEDENTE O PEDIDO. MODULAÇÃO DOS EFEITOS DA DECISÃO. 1. A jurisprudência desta Casa firmou-se no sentido de que a ausência de dotação orçamentária prévia apenas impede a aplicação da legislação que implique aumento de despesa no respectivo exercício financeiro, sem que disso decorra a declaração de sua inconstitucionalidade. Precedentes. Ação direta não conhecida quanto à suposta violação do </w:t>
      </w:r>
      <w:r w:rsidRPr="00C430C7">
        <w:rPr>
          <w:rStyle w:val="Emphasis"/>
          <w:rFonts w:asciiTheme="minorHAnsi" w:hAnsiTheme="minorHAnsi" w:cstheme="minorHAnsi"/>
          <w:bCs/>
          <w:sz w:val="22"/>
          <w:szCs w:val="22"/>
        </w:rPr>
        <w:t>artigo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Federal. 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2. 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artigo 113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ADCT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 tem caráter nacional e irradia obrigações a todos os entes federativos. Precedentes. 3. A Lei nº 1.237/2018 do Estado de Roraima cria e altera despesas obrigatórias de forma a gerar impacto orçamentário. A ausência de prévia instrução da proposta legislativa com a estimativa do impacto financeiro e orçamentário, nos termos 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art. 113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 do </w:t>
      </w:r>
      <w:r w:rsidRPr="00C430C7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ADCT</w:t>
      </w:r>
      <w:r w:rsidRPr="00C430C7">
        <w:rPr>
          <w:rFonts w:asciiTheme="minorHAnsi" w:hAnsiTheme="minorHAnsi" w:cstheme="minorHAnsi"/>
          <w:b/>
          <w:i/>
          <w:sz w:val="22"/>
          <w:szCs w:val="22"/>
          <w:u w:val="single"/>
        </w:rPr>
        <w:t>, aplicável a todos os entes federativos, implica inconstitucionalidade formal.</w:t>
      </w:r>
      <w:r w:rsidRPr="00C430C7">
        <w:rPr>
          <w:rFonts w:asciiTheme="minorHAnsi" w:hAnsiTheme="minorHAnsi" w:cstheme="minorHAnsi"/>
          <w:i/>
          <w:sz w:val="22"/>
          <w:szCs w:val="22"/>
        </w:rPr>
        <w:t xml:space="preserve"> 4. O ato normativo, não obstante viciado na sua origem, acarretou o </w:t>
      </w:r>
      <w:r w:rsidRPr="00C430C7">
        <w:rPr>
          <w:rFonts w:asciiTheme="minorHAnsi" w:hAnsiTheme="minorHAnsi" w:cstheme="minorHAnsi"/>
          <w:i/>
          <w:sz w:val="22"/>
          <w:szCs w:val="22"/>
        </w:rPr>
        <w:t>pagamento a servidores. O caráter alimentício das verbas auferidas demonstra a inviabilidade de ressarcimento dos valores. Modulação dos efeitos da decisão para proteger a confiança legítima que resultou na aplicação da lei e preservar a boa-fé objetiva. 5. Conhecimento parcial da ação direta e, na parte conhecida, julgado procedente o pedido para declarar a inconstitucionalidade formal da Lei nº 1.237, de 22 de janeiro de 2018, do Estado de Roraima.</w:t>
      </w:r>
    </w:p>
    <w:p w:rsidR="00D36612" w:rsidRPr="00D36612" w:rsidP="0043016F" w14:paraId="4F879EA5" w14:textId="77777777">
      <w:pPr>
        <w:spacing w:after="120" w:line="360" w:lineRule="auto"/>
        <w:ind w:firstLine="1701"/>
        <w:jc w:val="both"/>
        <w:rPr>
          <w:rFonts w:cstheme="minorHAnsi"/>
          <w:sz w:val="12"/>
          <w:szCs w:val="12"/>
        </w:rPr>
      </w:pPr>
    </w:p>
    <w:p w:rsidR="0043016F" w:rsidRPr="00D36612" w:rsidP="0043016F" w14:paraId="6AE489FA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>No mesmo sentido, colacionamos recente decisão da Corte Paulista:</w:t>
      </w:r>
    </w:p>
    <w:p w:rsidR="0043016F" w:rsidP="0043016F" w14:paraId="5C8E3F18" w14:textId="77777777">
      <w:pPr>
        <w:spacing w:after="120"/>
        <w:ind w:left="2268"/>
        <w:jc w:val="both"/>
        <w:rPr>
          <w:rFonts w:cstheme="minorHAnsi"/>
          <w:i/>
        </w:rPr>
      </w:pPr>
      <w:r w:rsidRPr="00C430C7">
        <w:rPr>
          <w:rFonts w:cstheme="minorHAnsi"/>
          <w:i/>
        </w:rPr>
        <w:t xml:space="preserve">AÇÃO DIRETA DE INCONSTITUCIONALIDADE Lei Municipal nº 5.398, de 28 de abril de 2020, do Município de Mogi Guaçu, de iniciativa parlamentar, autorizando o Poder Executivo a parcelar o recolhimento do Imposto de Transmissão de Bens Imóveis </w:t>
      </w:r>
      <w:r w:rsidRPr="00C430C7">
        <w:rPr>
          <w:rFonts w:cstheme="minorHAnsi"/>
          <w:i/>
        </w:rPr>
        <w:t>ITBI ,</w:t>
      </w:r>
      <w:r w:rsidRPr="00C430C7">
        <w:rPr>
          <w:rFonts w:cstheme="minorHAnsi"/>
          <w:i/>
        </w:rPr>
        <w:t xml:space="preserve"> a qualquer título, sem incidência de juros e correção monetária. Observância ao art. 113 do ADCT. Inocorrência. Inconstitucionalidade. Ação objetiva. Causa de pedido aberta. </w:t>
      </w:r>
      <w:r w:rsidRPr="00C430C7">
        <w:rPr>
          <w:rFonts w:cstheme="minorHAnsi"/>
          <w:b/>
          <w:i/>
        </w:rPr>
        <w:t xml:space="preserve">Obrigação de estimativa de impacto orçamentário e financeiro nos casos em que a lei implique renúncia de receita. Recente orientação do </w:t>
      </w:r>
      <w:r w:rsidRPr="00C430C7">
        <w:rPr>
          <w:rFonts w:cstheme="minorHAnsi"/>
          <w:b/>
          <w:i/>
        </w:rPr>
        <w:t>Eg</w:t>
      </w:r>
      <w:r w:rsidRPr="00C430C7">
        <w:rPr>
          <w:rFonts w:cstheme="minorHAnsi"/>
          <w:b/>
          <w:i/>
        </w:rPr>
        <w:t xml:space="preserve">. Supremo Tribunal Federal, aplicando o art. 113, do ADCT, a todos os entes federativos. Revisão do posicionamento deste C. Órgão Especial adotando a linha superiormente fixada. </w:t>
      </w:r>
      <w:r w:rsidRPr="00C430C7">
        <w:rPr>
          <w:rFonts w:cstheme="minorHAnsi"/>
          <w:i/>
        </w:rPr>
        <w:t>Ação procedente.</w:t>
      </w:r>
      <w:r>
        <w:rPr>
          <w:rFonts w:cstheme="minorHAnsi"/>
          <w:i/>
        </w:rPr>
        <w:t xml:space="preserve"> </w:t>
      </w:r>
      <w:r w:rsidRPr="00C430C7">
        <w:rPr>
          <w:rFonts w:cstheme="minorHAnsi"/>
          <w:i/>
        </w:rPr>
        <w:t>(TJSP. ADI nº 2.197.983-75.2020.8.26.0000. Relator Des. Evaristo dos Santos. Data do julgamento: 17/11/2021</w:t>
      </w:r>
      <w:r w:rsidRPr="00C430C7">
        <w:rPr>
          <w:rFonts w:cstheme="minorHAnsi"/>
          <w:i/>
        </w:rPr>
        <w:t>)</w:t>
      </w:r>
    </w:p>
    <w:p w:rsidR="0043016F" w:rsidRPr="00E10409" w:rsidP="0043016F" w14:paraId="58175E8C" w14:textId="77777777">
      <w:pPr>
        <w:spacing w:after="120"/>
        <w:ind w:left="2268"/>
        <w:jc w:val="both"/>
        <w:rPr>
          <w:rFonts w:cstheme="minorHAnsi"/>
          <w:i/>
          <w:sz w:val="12"/>
          <w:szCs w:val="12"/>
        </w:rPr>
      </w:pPr>
    </w:p>
    <w:p w:rsidR="0043016F" w:rsidRPr="00D36612" w:rsidP="0043016F" w14:paraId="1393111B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36612">
        <w:rPr>
          <w:rFonts w:cstheme="minorHAnsi"/>
          <w:sz w:val="24"/>
          <w:szCs w:val="24"/>
        </w:rPr>
        <w:t>Destarte, consoante entendimento jurisprudencial o art. 113 do ADCT aplica-se a todos os entes da federação, sendo requisito de validade formal de leis que criem despesa ou concedam benefícios fiscais à instrução da proposta legislativa com a estimativa do impacto financeiro e orçamentário.</w:t>
      </w:r>
    </w:p>
    <w:p w:rsidR="0043016F" w:rsidP="001900C3" w14:paraId="0BAF7528" w14:textId="3C829A2D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u w:val="single"/>
        </w:rPr>
      </w:pPr>
      <w:r w:rsidRPr="0043016F">
        <w:rPr>
          <w:rFonts w:asciiTheme="minorHAnsi" w:hAnsiTheme="minorHAnsi" w:cstheme="minorHAnsi"/>
          <w:szCs w:val="24"/>
          <w:u w:val="single"/>
        </w:rPr>
        <w:t>Neste aspecto, observamos que a proposição encontra-se instru</w:t>
      </w:r>
      <w:r>
        <w:rPr>
          <w:rFonts w:asciiTheme="minorHAnsi" w:hAnsiTheme="minorHAnsi" w:cstheme="minorHAnsi"/>
          <w:szCs w:val="24"/>
          <w:u w:val="single"/>
        </w:rPr>
        <w:t>ída com a estimativa d</w:t>
      </w:r>
      <w:r w:rsidRPr="0043016F">
        <w:rPr>
          <w:rFonts w:asciiTheme="minorHAnsi" w:hAnsiTheme="minorHAnsi" w:cstheme="minorHAnsi"/>
          <w:szCs w:val="24"/>
          <w:u w:val="single"/>
        </w:rPr>
        <w:t>e Impacto Orçamentário-Financeiro</w:t>
      </w:r>
      <w:r>
        <w:rPr>
          <w:rFonts w:asciiTheme="minorHAnsi" w:hAnsiTheme="minorHAnsi" w:cstheme="minorHAnsi"/>
          <w:szCs w:val="24"/>
          <w:u w:val="single"/>
        </w:rPr>
        <w:t xml:space="preserve"> elaborado pelo Departamento de Finanças e Declaração do Ordenador de Despesas de que o gasto dispõe de suficiente dotação e de firme e consistente expectativa de suporte de caixa, </w:t>
      </w:r>
      <w:r>
        <w:rPr>
          <w:rFonts w:asciiTheme="minorHAnsi" w:hAnsiTheme="minorHAnsi" w:cstheme="minorHAnsi"/>
          <w:szCs w:val="24"/>
          <w:u w:val="single"/>
        </w:rPr>
        <w:t>conformando-se às orientações do Plano Plurianual e da Lei de Diretrizes Or</w:t>
      </w:r>
      <w:r w:rsidR="00483544">
        <w:rPr>
          <w:rFonts w:asciiTheme="minorHAnsi" w:hAnsiTheme="minorHAnsi" w:cstheme="minorHAnsi"/>
          <w:szCs w:val="24"/>
          <w:u w:val="single"/>
        </w:rPr>
        <w:t>çamentárias (páginas 06/09).</w:t>
      </w:r>
    </w:p>
    <w:p w:rsidR="001900C3" w:rsidRPr="007D6467" w:rsidP="001900C3" w14:paraId="41CB1687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C911DC" w:rsidRPr="00100254" w:rsidP="00100254" w14:paraId="43A7A701" w14:textId="4FD3D3E8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7D6467">
        <w:rPr>
          <w:rFonts w:ascii="Calibri" w:hAnsi="Calibri" w:cs="Calibri"/>
        </w:rPr>
        <w:t xml:space="preserve">Ante todo o exposto, </w:t>
      </w:r>
      <w:r w:rsidRPr="007D6467" w:rsidR="00D36612">
        <w:rPr>
          <w:rFonts w:ascii="Calibri" w:hAnsi="Calibri" w:cs="Calibri"/>
        </w:rPr>
        <w:t xml:space="preserve">opinamos pela constitucionalidade e legalidade do projeto. </w:t>
      </w:r>
      <w:r w:rsidRPr="007D6467" w:rsidR="0061442B">
        <w:rPr>
          <w:rFonts w:eastAsia="Calibri" w:asciiTheme="minorHAnsi" w:hAnsiTheme="minorHAnsi" w:cstheme="minorHAnsi"/>
        </w:rPr>
        <w:t xml:space="preserve">Sobre o </w:t>
      </w:r>
      <w:r w:rsidRPr="00DF2C1A" w:rsidR="0061442B">
        <w:rPr>
          <w:rFonts w:eastAsia="Calibri" w:asciiTheme="minorHAnsi" w:hAnsiTheme="minorHAnsi" w:cstheme="minorHAnsi"/>
        </w:rPr>
        <w:t>mérito, manifestar-se-á o Plenário de forma soberana.</w:t>
      </w:r>
    </w:p>
    <w:p w:rsidR="001900C3" w:rsidRPr="00DF2C1A" w:rsidP="001900C3" w14:paraId="57845D3A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>É o parecer</w:t>
      </w:r>
      <w:r w:rsidRPr="00DF2C1A" w:rsidR="00C911DC">
        <w:rPr>
          <w:rFonts w:cstheme="minorHAnsi"/>
          <w:sz w:val="24"/>
          <w:szCs w:val="24"/>
        </w:rPr>
        <w:t>.</w:t>
      </w:r>
    </w:p>
    <w:p w:rsidR="00623AD7" w:rsidRPr="00DF2C1A" w:rsidP="001900C3" w14:paraId="263D6D57" w14:textId="52E449C2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>Procuradoria</w:t>
      </w:r>
      <w:r w:rsidRPr="00DF2C1A">
        <w:rPr>
          <w:rFonts w:cstheme="minorHAnsi"/>
          <w:sz w:val="24"/>
          <w:szCs w:val="24"/>
        </w:rPr>
        <w:t xml:space="preserve">, aos </w:t>
      </w:r>
      <w:r w:rsidR="00EE2FE4">
        <w:rPr>
          <w:rFonts w:cstheme="minorHAnsi"/>
          <w:sz w:val="24"/>
          <w:szCs w:val="24"/>
        </w:rPr>
        <w:t>17</w:t>
      </w:r>
      <w:r w:rsidRPr="00DF2C1A">
        <w:rPr>
          <w:rFonts w:cstheme="minorHAnsi"/>
          <w:sz w:val="24"/>
          <w:szCs w:val="24"/>
        </w:rPr>
        <w:t xml:space="preserve"> de </w:t>
      </w:r>
      <w:r w:rsidR="00EE2FE4">
        <w:rPr>
          <w:rFonts w:cstheme="minorHAnsi"/>
          <w:sz w:val="24"/>
          <w:szCs w:val="24"/>
        </w:rPr>
        <w:t>agosto</w:t>
      </w:r>
      <w:r w:rsidRPr="00DF2C1A">
        <w:rPr>
          <w:rFonts w:cstheme="minorHAnsi"/>
          <w:sz w:val="24"/>
          <w:szCs w:val="24"/>
        </w:rPr>
        <w:t xml:space="preserve"> de 20</w:t>
      </w:r>
      <w:r w:rsidRPr="00DF2C1A" w:rsidR="00F66849">
        <w:rPr>
          <w:rFonts w:cstheme="minorHAnsi"/>
          <w:sz w:val="24"/>
          <w:szCs w:val="24"/>
        </w:rPr>
        <w:t>2</w:t>
      </w:r>
      <w:r w:rsidRPr="00DF2C1A" w:rsidR="00840756">
        <w:rPr>
          <w:rFonts w:cstheme="minorHAnsi"/>
          <w:sz w:val="24"/>
          <w:szCs w:val="24"/>
        </w:rPr>
        <w:t>2</w:t>
      </w:r>
      <w:r w:rsidRPr="00DF2C1A">
        <w:rPr>
          <w:rFonts w:cstheme="minorHAnsi"/>
          <w:sz w:val="24"/>
          <w:szCs w:val="24"/>
        </w:rPr>
        <w:t>.</w:t>
      </w:r>
    </w:p>
    <w:p w:rsidR="00D36612" w:rsidRPr="00DF2C1A" w:rsidP="001900C3" w14:paraId="06DAA8DC" w14:textId="77777777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b/>
          <w:szCs w:val="24"/>
        </w:rPr>
      </w:pPr>
    </w:p>
    <w:p w:rsidR="00623AD7" w:rsidRPr="00DF2C1A" w:rsidP="00F505B3" w14:paraId="5D8B2A22" w14:textId="77777777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E1938" w:rsidP="00F505B3" w14:paraId="010763F6" w14:textId="70D7FE56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Procuradora - OAB/SP 308.298</w:t>
      </w:r>
    </w:p>
    <w:p w:rsidR="00055A36" w:rsidRPr="00055A36" w:rsidP="00F505B3" w14:paraId="5C0E6357" w14:textId="11A7F5EA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sectPr w:rsidSect="00106ADB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E6E69" w:rsidP="00CF4A3C" w14:paraId="028256AF" w14:textId="68A83E7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E6E69" w:rsidP="003C2F5F" w14:paraId="5D442BCC" w14:textId="3A50FBA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E6E69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7E6E69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E287F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E287F">
              <w:rPr>
                <w:b/>
                <w:bCs/>
                <w:noProof/>
                <w:sz w:val="18"/>
                <w:szCs w:val="18"/>
              </w:rPr>
              <w:t>13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E6E69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7E6E69" w14:paraId="1F8DB62B" w14:textId="77777777">
      <w:pPr>
        <w:spacing w:after="0" w:line="240" w:lineRule="auto"/>
      </w:pPr>
      <w:r>
        <w:continuationSeparator/>
      </w:r>
    </w:p>
  </w:footnote>
  <w:footnote w:id="2">
    <w:p w:rsidR="007E6E69" w:rsidP="001B2556" w14:paraId="24DCC816" w14:textId="55A21B3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</w:t>
      </w:r>
      <w:r>
        <w:rPr>
          <w:i/>
          <w:iCs/>
        </w:rPr>
        <w:t>Art. 38. Compete à Comissão de Justiça e Redação manifestar-se sobre todos os assuntos</w:t>
      </w:r>
      <w:r w:rsidRPr="001B2556">
        <w:rPr>
          <w:i/>
          <w:iCs/>
        </w:rPr>
        <w:t xml:space="preserve"> entregues</w:t>
      </w:r>
      <w:r w:rsidRPr="001B2556">
        <w:rPr>
          <w:i/>
          <w:iCs/>
        </w:rPr>
        <w:t xml:space="preserve">  </w:t>
      </w:r>
      <w:r w:rsidRPr="001B2556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1B2556">
        <w:t>.</w:t>
      </w:r>
      <w: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6E69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7E6E69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E69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1438587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283924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242534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3016F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744565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569141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E6E69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E6E69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E6E69" w:rsidP="003C2F5F" w14:paraId="6FE38094" w14:textId="77777777">
    <w:pPr>
      <w:pStyle w:val="Header"/>
    </w:pPr>
  </w:p>
  <w:p w:rsidR="007E6E69" w:rsidP="003C2F5F" w14:paraId="05C8AF9F" w14:textId="77777777">
    <w:pPr>
      <w:pStyle w:val="Header"/>
    </w:pPr>
  </w:p>
  <w:p w:rsidR="007E6E69" w:rsidP="003C2F5F" w14:paraId="7F0611FE" w14:textId="77777777">
    <w:pPr>
      <w:pStyle w:val="Header"/>
    </w:pPr>
  </w:p>
  <w:p w:rsidR="007E6E69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10143BE4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4354"/>
    <w:rsid w:val="00053466"/>
    <w:rsid w:val="00054297"/>
    <w:rsid w:val="00055A36"/>
    <w:rsid w:val="00055CC4"/>
    <w:rsid w:val="00057AD0"/>
    <w:rsid w:val="000854D9"/>
    <w:rsid w:val="000863AF"/>
    <w:rsid w:val="00093998"/>
    <w:rsid w:val="000A1978"/>
    <w:rsid w:val="000A2B7F"/>
    <w:rsid w:val="000B17B5"/>
    <w:rsid w:val="000C4719"/>
    <w:rsid w:val="000E0541"/>
    <w:rsid w:val="000F53FD"/>
    <w:rsid w:val="000F7DF6"/>
    <w:rsid w:val="00100254"/>
    <w:rsid w:val="0010042C"/>
    <w:rsid w:val="00106ADB"/>
    <w:rsid w:val="001150B0"/>
    <w:rsid w:val="00116058"/>
    <w:rsid w:val="001166FA"/>
    <w:rsid w:val="0012397D"/>
    <w:rsid w:val="00130A14"/>
    <w:rsid w:val="00133B04"/>
    <w:rsid w:val="00133C76"/>
    <w:rsid w:val="00146235"/>
    <w:rsid w:val="00171311"/>
    <w:rsid w:val="00186563"/>
    <w:rsid w:val="00186BFA"/>
    <w:rsid w:val="001900C3"/>
    <w:rsid w:val="001B2556"/>
    <w:rsid w:val="001B380C"/>
    <w:rsid w:val="001B39B0"/>
    <w:rsid w:val="001D010E"/>
    <w:rsid w:val="00207702"/>
    <w:rsid w:val="00234202"/>
    <w:rsid w:val="00253D01"/>
    <w:rsid w:val="00264F4E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D0400"/>
    <w:rsid w:val="002D1F88"/>
    <w:rsid w:val="002E06DC"/>
    <w:rsid w:val="002E0B93"/>
    <w:rsid w:val="002F1549"/>
    <w:rsid w:val="002F5795"/>
    <w:rsid w:val="003128C1"/>
    <w:rsid w:val="003132A3"/>
    <w:rsid w:val="003210F0"/>
    <w:rsid w:val="00350F60"/>
    <w:rsid w:val="003856D7"/>
    <w:rsid w:val="00391CD8"/>
    <w:rsid w:val="003A5BDC"/>
    <w:rsid w:val="003A6461"/>
    <w:rsid w:val="003B4ED0"/>
    <w:rsid w:val="003B55E5"/>
    <w:rsid w:val="003C2F5F"/>
    <w:rsid w:val="003C4DB0"/>
    <w:rsid w:val="003C6555"/>
    <w:rsid w:val="003D3D50"/>
    <w:rsid w:val="003D6EE3"/>
    <w:rsid w:val="003E371A"/>
    <w:rsid w:val="003F0920"/>
    <w:rsid w:val="003F610A"/>
    <w:rsid w:val="0040409A"/>
    <w:rsid w:val="00407A33"/>
    <w:rsid w:val="00415C7A"/>
    <w:rsid w:val="00417BC0"/>
    <w:rsid w:val="00427BE6"/>
    <w:rsid w:val="0043016F"/>
    <w:rsid w:val="00433A4C"/>
    <w:rsid w:val="0045236F"/>
    <w:rsid w:val="004639D3"/>
    <w:rsid w:val="00465FE0"/>
    <w:rsid w:val="00483544"/>
    <w:rsid w:val="004D6EED"/>
    <w:rsid w:val="005056F7"/>
    <w:rsid w:val="005101D9"/>
    <w:rsid w:val="00531B48"/>
    <w:rsid w:val="0054429B"/>
    <w:rsid w:val="00553C12"/>
    <w:rsid w:val="0058062A"/>
    <w:rsid w:val="00582F11"/>
    <w:rsid w:val="00585C59"/>
    <w:rsid w:val="00591032"/>
    <w:rsid w:val="00593369"/>
    <w:rsid w:val="00596241"/>
    <w:rsid w:val="005A1CB4"/>
    <w:rsid w:val="005B66AE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25539"/>
    <w:rsid w:val="0063663D"/>
    <w:rsid w:val="00644ED3"/>
    <w:rsid w:val="006504F4"/>
    <w:rsid w:val="0065692D"/>
    <w:rsid w:val="0067562F"/>
    <w:rsid w:val="00686242"/>
    <w:rsid w:val="00687B41"/>
    <w:rsid w:val="006A1A17"/>
    <w:rsid w:val="006A5B5D"/>
    <w:rsid w:val="006B1DD9"/>
    <w:rsid w:val="006D1203"/>
    <w:rsid w:val="006D2F36"/>
    <w:rsid w:val="006E00C4"/>
    <w:rsid w:val="006E43B0"/>
    <w:rsid w:val="006E4468"/>
    <w:rsid w:val="006E4F1C"/>
    <w:rsid w:val="006F0642"/>
    <w:rsid w:val="006F6EBB"/>
    <w:rsid w:val="0070570A"/>
    <w:rsid w:val="007111F6"/>
    <w:rsid w:val="007277F2"/>
    <w:rsid w:val="00743338"/>
    <w:rsid w:val="00753377"/>
    <w:rsid w:val="007711FB"/>
    <w:rsid w:val="007867AD"/>
    <w:rsid w:val="007A3E43"/>
    <w:rsid w:val="007C7735"/>
    <w:rsid w:val="007D24E4"/>
    <w:rsid w:val="007D6467"/>
    <w:rsid w:val="007E1938"/>
    <w:rsid w:val="007E1F99"/>
    <w:rsid w:val="007E684E"/>
    <w:rsid w:val="007E6E69"/>
    <w:rsid w:val="00805484"/>
    <w:rsid w:val="00815A68"/>
    <w:rsid w:val="00833548"/>
    <w:rsid w:val="00840756"/>
    <w:rsid w:val="00843AF6"/>
    <w:rsid w:val="00844F2A"/>
    <w:rsid w:val="00866252"/>
    <w:rsid w:val="00867EC0"/>
    <w:rsid w:val="008706BC"/>
    <w:rsid w:val="008743BF"/>
    <w:rsid w:val="00880E5C"/>
    <w:rsid w:val="008B446B"/>
    <w:rsid w:val="008C29F0"/>
    <w:rsid w:val="008D48C2"/>
    <w:rsid w:val="008D545A"/>
    <w:rsid w:val="008D67BD"/>
    <w:rsid w:val="008E7C91"/>
    <w:rsid w:val="008F1AFA"/>
    <w:rsid w:val="008F5FCA"/>
    <w:rsid w:val="00924DE9"/>
    <w:rsid w:val="0094325E"/>
    <w:rsid w:val="009513F9"/>
    <w:rsid w:val="0097085A"/>
    <w:rsid w:val="00973E66"/>
    <w:rsid w:val="00985CD8"/>
    <w:rsid w:val="00987EDC"/>
    <w:rsid w:val="00990D8F"/>
    <w:rsid w:val="00995E87"/>
    <w:rsid w:val="009A170D"/>
    <w:rsid w:val="009A6ACD"/>
    <w:rsid w:val="009F0F77"/>
    <w:rsid w:val="00A21575"/>
    <w:rsid w:val="00A32BE6"/>
    <w:rsid w:val="00A33922"/>
    <w:rsid w:val="00A44636"/>
    <w:rsid w:val="00A455A2"/>
    <w:rsid w:val="00A65EAF"/>
    <w:rsid w:val="00A7003F"/>
    <w:rsid w:val="00A731C0"/>
    <w:rsid w:val="00A816F6"/>
    <w:rsid w:val="00A84A80"/>
    <w:rsid w:val="00AA19F5"/>
    <w:rsid w:val="00AB02F8"/>
    <w:rsid w:val="00AC632E"/>
    <w:rsid w:val="00AC6375"/>
    <w:rsid w:val="00AD2EF4"/>
    <w:rsid w:val="00AD41DD"/>
    <w:rsid w:val="00B20851"/>
    <w:rsid w:val="00B21513"/>
    <w:rsid w:val="00B4272B"/>
    <w:rsid w:val="00B51914"/>
    <w:rsid w:val="00B6446F"/>
    <w:rsid w:val="00B77DD5"/>
    <w:rsid w:val="00B9191A"/>
    <w:rsid w:val="00BA60E8"/>
    <w:rsid w:val="00BA71BB"/>
    <w:rsid w:val="00BB2737"/>
    <w:rsid w:val="00BB4A3C"/>
    <w:rsid w:val="00BB699B"/>
    <w:rsid w:val="00BC1CA3"/>
    <w:rsid w:val="00BD21FC"/>
    <w:rsid w:val="00BE287F"/>
    <w:rsid w:val="00BF1E38"/>
    <w:rsid w:val="00BF6582"/>
    <w:rsid w:val="00C037D3"/>
    <w:rsid w:val="00C16375"/>
    <w:rsid w:val="00C430C7"/>
    <w:rsid w:val="00C50F96"/>
    <w:rsid w:val="00C54AEF"/>
    <w:rsid w:val="00C65153"/>
    <w:rsid w:val="00C772FB"/>
    <w:rsid w:val="00C911DC"/>
    <w:rsid w:val="00C96BE2"/>
    <w:rsid w:val="00CA36F2"/>
    <w:rsid w:val="00CB55DD"/>
    <w:rsid w:val="00CC3BFA"/>
    <w:rsid w:val="00CD2341"/>
    <w:rsid w:val="00CF4A3C"/>
    <w:rsid w:val="00D36612"/>
    <w:rsid w:val="00D43148"/>
    <w:rsid w:val="00D50B43"/>
    <w:rsid w:val="00D56ED0"/>
    <w:rsid w:val="00D578F4"/>
    <w:rsid w:val="00D57968"/>
    <w:rsid w:val="00D7028D"/>
    <w:rsid w:val="00D8253A"/>
    <w:rsid w:val="00DA067C"/>
    <w:rsid w:val="00DA6666"/>
    <w:rsid w:val="00DF2C1A"/>
    <w:rsid w:val="00E010C5"/>
    <w:rsid w:val="00E07310"/>
    <w:rsid w:val="00E10409"/>
    <w:rsid w:val="00E17B92"/>
    <w:rsid w:val="00E3389E"/>
    <w:rsid w:val="00E405EE"/>
    <w:rsid w:val="00E41EA1"/>
    <w:rsid w:val="00E503EA"/>
    <w:rsid w:val="00E66F59"/>
    <w:rsid w:val="00E7573E"/>
    <w:rsid w:val="00E77219"/>
    <w:rsid w:val="00E813C9"/>
    <w:rsid w:val="00E91634"/>
    <w:rsid w:val="00E9745E"/>
    <w:rsid w:val="00EA669D"/>
    <w:rsid w:val="00EB49A2"/>
    <w:rsid w:val="00EB4F80"/>
    <w:rsid w:val="00EC6150"/>
    <w:rsid w:val="00EE2FE4"/>
    <w:rsid w:val="00EE6021"/>
    <w:rsid w:val="00F078B3"/>
    <w:rsid w:val="00F1565F"/>
    <w:rsid w:val="00F253CD"/>
    <w:rsid w:val="00F3073D"/>
    <w:rsid w:val="00F505B3"/>
    <w:rsid w:val="00F53BEF"/>
    <w:rsid w:val="00F564CF"/>
    <w:rsid w:val="00F66849"/>
    <w:rsid w:val="00F740A6"/>
    <w:rsid w:val="00F847EE"/>
    <w:rsid w:val="00F96CC6"/>
    <w:rsid w:val="00FA1D5B"/>
    <w:rsid w:val="00FB0318"/>
    <w:rsid w:val="00FB7CDD"/>
    <w:rsid w:val="00FC59A5"/>
    <w:rsid w:val="00FD744D"/>
    <w:rsid w:val="00FE410F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portal.stf.jus.br/processos/detalhe.asp?incidente=5883343" TargetMode="External" /><Relationship Id="rId7" Type="http://schemas.openxmlformats.org/officeDocument/2006/relationships/hyperlink" Target="http://www.planalto.gov.br/ccivil_03/Constituicao/Constituicao.htm" TargetMode="External" /><Relationship Id="rId8" Type="http://schemas.openxmlformats.org/officeDocument/2006/relationships/hyperlink" Target="http://www.planalto.gov.br/ccivil_03/leis/lcp/Lcp176.htm" TargetMode="Externa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21E24-4C03-46F4-986F-37A36DB1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3650</Words>
  <Characters>19714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cp:lastPrinted>2021-05-27T14:59:00Z</cp:lastPrinted>
  <dcterms:created xsi:type="dcterms:W3CDTF">2022-08-17T16:58:00Z</dcterms:created>
  <dcterms:modified xsi:type="dcterms:W3CDTF">2022-08-19T17:43:00Z</dcterms:modified>
</cp:coreProperties>
</file>