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21" w:rsidRPr="006A4063" w:rsidRDefault="005C7621" w:rsidP="00A04FF1">
      <w:pPr>
        <w:jc w:val="both"/>
        <w:rPr>
          <w:rFonts w:cs="Arial"/>
          <w:b/>
          <w:sz w:val="28"/>
          <w:szCs w:val="24"/>
        </w:rPr>
      </w:pPr>
      <w:bookmarkStart w:id="0" w:name="_GoBack"/>
      <w:bookmarkEnd w:id="0"/>
    </w:p>
    <w:p w:rsidR="005C7621" w:rsidRPr="006A4063" w:rsidRDefault="005C7621" w:rsidP="00A04FF1">
      <w:pPr>
        <w:widowControl w:val="0"/>
        <w:tabs>
          <w:tab w:val="left" w:pos="1741"/>
        </w:tabs>
        <w:jc w:val="both"/>
        <w:rPr>
          <w:rFonts w:cs="Arial"/>
          <w:b/>
          <w:bCs/>
          <w:szCs w:val="24"/>
        </w:rPr>
      </w:pPr>
    </w:p>
    <w:p w:rsidR="00455FF4" w:rsidRPr="006A4063" w:rsidRDefault="00455FF4" w:rsidP="00A04FF1">
      <w:pPr>
        <w:widowControl w:val="0"/>
        <w:jc w:val="both"/>
        <w:rPr>
          <w:rFonts w:cs="Arial"/>
          <w:b/>
          <w:bCs/>
          <w:szCs w:val="24"/>
        </w:rPr>
      </w:pPr>
    </w:p>
    <w:p w:rsidR="00A04FF1" w:rsidRPr="006A4063" w:rsidRDefault="00A04FF1" w:rsidP="00A04FF1">
      <w:pPr>
        <w:widowControl w:val="0"/>
        <w:jc w:val="both"/>
        <w:rPr>
          <w:rFonts w:cs="Arial"/>
          <w:b/>
          <w:bCs/>
          <w:szCs w:val="24"/>
        </w:rPr>
      </w:pPr>
      <w:r w:rsidRPr="006A4063">
        <w:rPr>
          <w:rFonts w:cs="Arial"/>
          <w:b/>
          <w:bCs/>
          <w:szCs w:val="24"/>
        </w:rPr>
        <w:t>Senhor Presidente,</w:t>
      </w:r>
    </w:p>
    <w:p w:rsidR="005C7621" w:rsidRPr="006A4063" w:rsidRDefault="00A04FF1" w:rsidP="00A04FF1">
      <w:pPr>
        <w:widowControl w:val="0"/>
        <w:jc w:val="both"/>
        <w:rPr>
          <w:rFonts w:cs="Arial"/>
          <w:b/>
          <w:bCs/>
          <w:szCs w:val="24"/>
        </w:rPr>
      </w:pPr>
      <w:r w:rsidRPr="006A4063">
        <w:rPr>
          <w:rFonts w:cs="Arial"/>
          <w:b/>
          <w:bCs/>
          <w:szCs w:val="24"/>
        </w:rPr>
        <w:t>Senhores Vereadores</w:t>
      </w:r>
      <w:r w:rsidR="0068721F" w:rsidRPr="006A4063">
        <w:rPr>
          <w:rFonts w:cs="Arial"/>
          <w:b/>
          <w:bCs/>
          <w:szCs w:val="24"/>
        </w:rPr>
        <w:t>,</w:t>
      </w:r>
    </w:p>
    <w:p w:rsidR="004E493C" w:rsidRPr="006A4063" w:rsidRDefault="004E493C" w:rsidP="004E493C">
      <w:pPr>
        <w:widowControl w:val="0"/>
        <w:spacing w:line="360" w:lineRule="auto"/>
        <w:jc w:val="both"/>
        <w:rPr>
          <w:rFonts w:cs="Arial"/>
          <w:bCs/>
          <w:szCs w:val="24"/>
        </w:rPr>
      </w:pPr>
    </w:p>
    <w:p w:rsidR="0080458F" w:rsidRPr="006A4063" w:rsidRDefault="0080458F" w:rsidP="00AE69C4">
      <w:pPr>
        <w:widowControl w:val="0"/>
        <w:spacing w:line="360" w:lineRule="auto"/>
        <w:ind w:firstLine="2835"/>
        <w:jc w:val="both"/>
        <w:rPr>
          <w:rFonts w:cs="Arial"/>
          <w:bCs/>
          <w:szCs w:val="24"/>
        </w:rPr>
      </w:pPr>
    </w:p>
    <w:p w:rsidR="00A04FF1" w:rsidRPr="006A4063" w:rsidRDefault="0080458F" w:rsidP="0080458F">
      <w:pPr>
        <w:widowControl w:val="0"/>
        <w:spacing w:line="360" w:lineRule="auto"/>
        <w:ind w:firstLine="2835"/>
        <w:jc w:val="both"/>
        <w:rPr>
          <w:rFonts w:cs="Arial"/>
          <w:bCs/>
          <w:szCs w:val="24"/>
        </w:rPr>
      </w:pPr>
      <w:r w:rsidRPr="006A4063">
        <w:rPr>
          <w:rFonts w:cs="Arial"/>
          <w:bCs/>
          <w:szCs w:val="24"/>
        </w:rPr>
        <w:t>O</w:t>
      </w:r>
      <w:r w:rsidR="00F6423A">
        <w:rPr>
          <w:rFonts w:cs="Arial"/>
          <w:bCs/>
          <w:szCs w:val="24"/>
        </w:rPr>
        <w:t xml:space="preserve"> vereador </w:t>
      </w:r>
      <w:r w:rsidR="00F6423A" w:rsidRPr="00F6423A">
        <w:rPr>
          <w:rFonts w:cs="Arial"/>
          <w:b/>
          <w:bCs/>
          <w:szCs w:val="24"/>
        </w:rPr>
        <w:t>FRANKLIN</w:t>
      </w:r>
      <w:r w:rsidR="00F6423A">
        <w:rPr>
          <w:rFonts w:cs="Arial"/>
          <w:bCs/>
          <w:szCs w:val="24"/>
        </w:rPr>
        <w:t xml:space="preserve"> </w:t>
      </w:r>
      <w:r w:rsidRPr="006A4063">
        <w:rPr>
          <w:rFonts w:cs="Arial"/>
          <w:bCs/>
          <w:szCs w:val="24"/>
        </w:rPr>
        <w:t>que subscreve</w:t>
      </w:r>
      <w:r w:rsidR="00F6423A">
        <w:rPr>
          <w:rFonts w:cs="Arial"/>
          <w:bCs/>
          <w:szCs w:val="24"/>
        </w:rPr>
        <w:t xml:space="preserve"> e </w:t>
      </w:r>
      <w:r w:rsidRPr="006A4063">
        <w:rPr>
          <w:rFonts w:cs="Arial"/>
          <w:bCs/>
          <w:szCs w:val="24"/>
        </w:rPr>
        <w:t>apresenta</w:t>
      </w:r>
      <w:r w:rsidR="00F6423A">
        <w:rPr>
          <w:rFonts w:cs="Arial"/>
          <w:bCs/>
          <w:szCs w:val="24"/>
        </w:rPr>
        <w:t xml:space="preserve"> </w:t>
      </w:r>
      <w:r w:rsidRPr="006A4063">
        <w:rPr>
          <w:rFonts w:cs="Arial"/>
          <w:bCs/>
          <w:szCs w:val="24"/>
        </w:rPr>
        <w:t xml:space="preserve">nos termos regimentais, para a devida apreciação e votação </w:t>
      </w:r>
      <w:r w:rsidR="00515C6C" w:rsidRPr="006A4063">
        <w:rPr>
          <w:rFonts w:cs="Arial"/>
          <w:bCs/>
          <w:szCs w:val="24"/>
        </w:rPr>
        <w:t xml:space="preserve">em Plenário, </w:t>
      </w:r>
      <w:r w:rsidRPr="006A4063">
        <w:rPr>
          <w:rFonts w:cs="Arial"/>
          <w:bCs/>
          <w:szCs w:val="24"/>
        </w:rPr>
        <w:t xml:space="preserve">o presente Projeto de Lei, </w:t>
      </w:r>
      <w:r w:rsidR="00F6423A">
        <w:rPr>
          <w:rFonts w:cs="Arial"/>
          <w:bCs/>
          <w:szCs w:val="24"/>
        </w:rPr>
        <w:t>“</w:t>
      </w:r>
      <w:r w:rsidR="00F6423A" w:rsidRPr="005125EB">
        <w:rPr>
          <w:rFonts w:cs="Arial"/>
          <w:bCs/>
          <w:szCs w:val="24"/>
        </w:rPr>
        <w:t>que revoga a hipótese de incidência do ITBI para as operações de cessão de direitos, na forma que especifica</w:t>
      </w:r>
      <w:r w:rsidRPr="006A4063">
        <w:rPr>
          <w:rFonts w:cs="Arial"/>
          <w:bCs/>
          <w:szCs w:val="24"/>
        </w:rPr>
        <w:t>”, nos seguintes termos.</w:t>
      </w:r>
    </w:p>
    <w:p w:rsidR="0080458F" w:rsidRPr="006A4063" w:rsidRDefault="0080458F" w:rsidP="00AE69C4">
      <w:pPr>
        <w:widowControl w:val="0"/>
        <w:spacing w:line="360" w:lineRule="auto"/>
        <w:ind w:firstLine="2835"/>
        <w:jc w:val="both"/>
        <w:rPr>
          <w:rFonts w:cs="Arial"/>
          <w:bCs/>
          <w:szCs w:val="24"/>
        </w:rPr>
      </w:pPr>
    </w:p>
    <w:p w:rsidR="0080458F" w:rsidRPr="006A4063" w:rsidRDefault="0080458F" w:rsidP="0080458F">
      <w:pPr>
        <w:widowControl w:val="0"/>
        <w:spacing w:line="360" w:lineRule="auto"/>
        <w:jc w:val="both"/>
        <w:rPr>
          <w:rFonts w:cs="Arial"/>
          <w:b/>
          <w:bCs/>
          <w:szCs w:val="24"/>
        </w:rPr>
      </w:pPr>
      <w:r w:rsidRPr="006A4063">
        <w:rPr>
          <w:rFonts w:cs="Arial"/>
          <w:b/>
          <w:bCs/>
          <w:szCs w:val="24"/>
        </w:rPr>
        <w:t>Justificativa</w:t>
      </w:r>
    </w:p>
    <w:p w:rsidR="004E493C" w:rsidRPr="006A4063" w:rsidRDefault="004E493C" w:rsidP="00AE69C4">
      <w:pPr>
        <w:widowControl w:val="0"/>
        <w:spacing w:line="360" w:lineRule="auto"/>
        <w:ind w:firstLine="2835"/>
        <w:jc w:val="both"/>
        <w:rPr>
          <w:rFonts w:cs="Arial"/>
          <w:bCs/>
          <w:szCs w:val="24"/>
        </w:rPr>
      </w:pPr>
    </w:p>
    <w:p w:rsidR="005125EB" w:rsidRDefault="00F6423A" w:rsidP="005125EB">
      <w:pPr>
        <w:spacing w:line="360" w:lineRule="auto"/>
        <w:ind w:firstLine="2835"/>
        <w:jc w:val="both"/>
        <w:rPr>
          <w:rFonts w:cs="Arial"/>
          <w:bCs/>
          <w:szCs w:val="24"/>
        </w:rPr>
      </w:pPr>
      <w:r>
        <w:rPr>
          <w:rFonts w:cs="Arial"/>
          <w:bCs/>
          <w:szCs w:val="24"/>
        </w:rPr>
        <w:t>A r</w:t>
      </w:r>
      <w:r w:rsidR="005125EB" w:rsidRPr="005125EB">
        <w:rPr>
          <w:rFonts w:cs="Arial"/>
          <w:bCs/>
          <w:szCs w:val="24"/>
        </w:rPr>
        <w:t>eferida propositura decorre de estudos doutrinários e jurisprudenciais, cujo assunto restou já pacificado pelo E. Supremo Tribunal Federal, quando aprovou a Tese 1124, assim ementado: “Incidência do Imposto de Transmissão de Bens Imóveis (ITBI) na cessão de direitos de compra e venda, ausente a transferência de propriedade pelo registro imobiliário”.</w:t>
      </w:r>
    </w:p>
    <w:p w:rsidR="005125EB" w:rsidRPr="005125EB" w:rsidRDefault="005125EB" w:rsidP="005125EB">
      <w:pPr>
        <w:spacing w:line="360" w:lineRule="auto"/>
        <w:ind w:firstLine="2835"/>
        <w:jc w:val="both"/>
        <w:rPr>
          <w:rFonts w:cs="Arial"/>
          <w:bCs/>
          <w:szCs w:val="24"/>
        </w:rPr>
      </w:pPr>
    </w:p>
    <w:p w:rsidR="005125EB" w:rsidRDefault="005125EB" w:rsidP="005125EB">
      <w:pPr>
        <w:spacing w:line="360" w:lineRule="auto"/>
        <w:ind w:firstLine="2835"/>
        <w:jc w:val="both"/>
        <w:rPr>
          <w:rFonts w:cs="Arial"/>
          <w:bCs/>
          <w:szCs w:val="24"/>
        </w:rPr>
      </w:pPr>
      <w:r w:rsidRPr="005125EB">
        <w:rPr>
          <w:rFonts w:cs="Arial"/>
          <w:bCs/>
          <w:szCs w:val="24"/>
        </w:rPr>
        <w:t>A exigência tributária sobre tais operações</w:t>
      </w:r>
      <w:proofErr w:type="gramStart"/>
      <w:r w:rsidRPr="005125EB">
        <w:rPr>
          <w:rFonts w:cs="Arial"/>
          <w:bCs/>
          <w:szCs w:val="24"/>
        </w:rPr>
        <w:t>, há</w:t>
      </w:r>
      <w:proofErr w:type="gramEnd"/>
      <w:r w:rsidRPr="005125EB">
        <w:rPr>
          <w:rFonts w:cs="Arial"/>
          <w:bCs/>
          <w:szCs w:val="24"/>
        </w:rPr>
        <w:t xml:space="preserve"> muito tempo urge de profunda análise revisional, sobretudo em razão da alta carga tributária, e necessidade de correções que refletirão na forma de se cobrar os impostos, trazendo justiça tributária as operações de mera cessão de direitos, que não se tratam de ato final de transferência da propriedade. </w:t>
      </w:r>
    </w:p>
    <w:p w:rsidR="005125EB" w:rsidRPr="005125EB" w:rsidRDefault="005125EB" w:rsidP="005125EB">
      <w:pPr>
        <w:spacing w:line="360" w:lineRule="auto"/>
        <w:ind w:firstLine="2835"/>
        <w:jc w:val="both"/>
        <w:rPr>
          <w:rFonts w:cs="Arial"/>
          <w:bCs/>
          <w:szCs w:val="24"/>
        </w:rPr>
      </w:pPr>
    </w:p>
    <w:p w:rsidR="005125EB" w:rsidRDefault="005125EB" w:rsidP="005125EB">
      <w:pPr>
        <w:spacing w:line="360" w:lineRule="auto"/>
        <w:ind w:firstLine="2835"/>
        <w:jc w:val="both"/>
        <w:rPr>
          <w:rFonts w:cs="Arial"/>
          <w:bCs/>
          <w:szCs w:val="24"/>
        </w:rPr>
      </w:pPr>
      <w:r w:rsidRPr="005125EB">
        <w:rPr>
          <w:rFonts w:cs="Arial"/>
          <w:bCs/>
          <w:szCs w:val="24"/>
        </w:rPr>
        <w:t xml:space="preserve">As cortes brasileiras ao longo do tempo aprimoraram o entendimento acerca da impossibilidade de tal ato jurídico ser fato gerador do referido imposto. É que consoante os reiterados julgados, o cabimento da exigência </w:t>
      </w:r>
      <w:r w:rsidRPr="005125EB">
        <w:rPr>
          <w:rFonts w:cs="Arial"/>
          <w:bCs/>
          <w:szCs w:val="24"/>
        </w:rPr>
        <w:lastRenderedPageBreak/>
        <w:t xml:space="preserve">tributária recai somente na efetiva transferência da propriedade, ou seja, quando se dá, através do registro em Cartório. </w:t>
      </w:r>
    </w:p>
    <w:p w:rsidR="005125EB" w:rsidRPr="005125EB" w:rsidRDefault="005125EB" w:rsidP="005125EB">
      <w:pPr>
        <w:spacing w:line="360" w:lineRule="auto"/>
        <w:ind w:firstLine="2835"/>
        <w:jc w:val="both"/>
        <w:rPr>
          <w:rFonts w:cs="Arial"/>
          <w:bCs/>
          <w:szCs w:val="24"/>
        </w:rPr>
      </w:pPr>
    </w:p>
    <w:p w:rsidR="005125EB" w:rsidRDefault="005125EB" w:rsidP="005125EB">
      <w:pPr>
        <w:spacing w:line="360" w:lineRule="auto"/>
        <w:ind w:firstLine="2835"/>
        <w:jc w:val="both"/>
        <w:rPr>
          <w:rFonts w:cs="Arial"/>
          <w:bCs/>
          <w:szCs w:val="24"/>
        </w:rPr>
      </w:pPr>
      <w:r w:rsidRPr="005125EB">
        <w:rPr>
          <w:rFonts w:cs="Arial"/>
          <w:bCs/>
          <w:szCs w:val="24"/>
        </w:rPr>
        <w:t xml:space="preserve">O amadurecimento dessa tese, decorreu da controversa apresentada, nos embates entre os Fiscos credores e os Contribuintes que atentos a tese de que a mera cessão de direitos não era causa de transferência de propriedade, não seria cabível a exigência da quitação de tal imposto. </w:t>
      </w:r>
    </w:p>
    <w:p w:rsidR="005125EB" w:rsidRPr="005125EB" w:rsidRDefault="005125EB" w:rsidP="005125EB">
      <w:pPr>
        <w:spacing w:line="360" w:lineRule="auto"/>
        <w:ind w:firstLine="2835"/>
        <w:jc w:val="both"/>
        <w:rPr>
          <w:rFonts w:cs="Arial"/>
          <w:bCs/>
          <w:szCs w:val="24"/>
        </w:rPr>
      </w:pPr>
    </w:p>
    <w:p w:rsidR="005125EB" w:rsidRDefault="005125EB" w:rsidP="005125EB">
      <w:pPr>
        <w:spacing w:line="360" w:lineRule="auto"/>
        <w:ind w:firstLine="2835"/>
        <w:jc w:val="both"/>
        <w:rPr>
          <w:rFonts w:cs="Arial"/>
          <w:bCs/>
          <w:szCs w:val="24"/>
        </w:rPr>
      </w:pPr>
      <w:r w:rsidRPr="005125EB">
        <w:rPr>
          <w:rFonts w:cs="Arial"/>
          <w:bCs/>
          <w:szCs w:val="24"/>
        </w:rPr>
        <w:t xml:space="preserve">Todavia, a legislação municipal reticente até mesmo a questão que ganhou contorno de causa de repercussão geral, decidida a favor do jurisdicionado, ainda mantém em seu ordenamento jurídico a exigência, dificultado a concretização do negócio firmado e levando a buscar a tutela jurisdicional do Estado para a concessão da decisão judicial apto a isentar desse pagamento, que há muito já é descabido. </w:t>
      </w:r>
    </w:p>
    <w:p w:rsidR="005125EB" w:rsidRDefault="005125EB" w:rsidP="005125EB">
      <w:pPr>
        <w:spacing w:line="360" w:lineRule="auto"/>
        <w:ind w:firstLine="2835"/>
        <w:jc w:val="both"/>
        <w:rPr>
          <w:rFonts w:cs="Arial"/>
          <w:bCs/>
          <w:szCs w:val="24"/>
        </w:rPr>
      </w:pPr>
    </w:p>
    <w:p w:rsidR="005125EB" w:rsidRDefault="005125EB" w:rsidP="005125EB">
      <w:pPr>
        <w:spacing w:line="360" w:lineRule="auto"/>
        <w:ind w:firstLine="2835"/>
        <w:jc w:val="both"/>
        <w:rPr>
          <w:rFonts w:cs="Arial"/>
          <w:bCs/>
          <w:szCs w:val="24"/>
        </w:rPr>
      </w:pPr>
      <w:r>
        <w:rPr>
          <w:rFonts w:cs="Arial"/>
          <w:bCs/>
          <w:szCs w:val="24"/>
        </w:rPr>
        <w:t xml:space="preserve">Assim nossa intenção legislativa é corrigir distorções na cobrança tributária e evitar o risco de se exigir o pagamento de tributo de maneira dobrada, conhecido como bitributação, pelo mesmo fato gerador. </w:t>
      </w:r>
    </w:p>
    <w:p w:rsidR="005125EB" w:rsidRDefault="005125EB" w:rsidP="005125EB">
      <w:pPr>
        <w:spacing w:line="360" w:lineRule="auto"/>
        <w:ind w:firstLine="2835"/>
        <w:jc w:val="both"/>
        <w:rPr>
          <w:rFonts w:cs="Arial"/>
          <w:bCs/>
          <w:szCs w:val="24"/>
        </w:rPr>
      </w:pPr>
    </w:p>
    <w:p w:rsidR="0080458F" w:rsidRDefault="005125EB" w:rsidP="005125EB">
      <w:pPr>
        <w:spacing w:line="360" w:lineRule="auto"/>
        <w:ind w:firstLine="2835"/>
        <w:jc w:val="both"/>
        <w:rPr>
          <w:rFonts w:cs="Arial"/>
          <w:bCs/>
          <w:szCs w:val="24"/>
        </w:rPr>
      </w:pPr>
      <w:r w:rsidRPr="005125EB">
        <w:rPr>
          <w:rFonts w:cs="Arial"/>
          <w:bCs/>
          <w:szCs w:val="24"/>
        </w:rPr>
        <w:t>A título de ilustração, colaciona-se o seguinte julgados para bem defender o quanto se apresenta:</w:t>
      </w:r>
    </w:p>
    <w:p w:rsidR="005125EB" w:rsidRPr="005125EB" w:rsidRDefault="005125EB" w:rsidP="005125EB">
      <w:pPr>
        <w:spacing w:line="360" w:lineRule="auto"/>
        <w:ind w:left="2835"/>
        <w:jc w:val="both"/>
        <w:rPr>
          <w:rFonts w:cs="Arial"/>
          <w:bCs/>
          <w:i/>
          <w:iCs/>
          <w:szCs w:val="24"/>
        </w:rPr>
      </w:pPr>
      <w:r w:rsidRPr="005125EB">
        <w:rPr>
          <w:rFonts w:cs="Arial"/>
          <w:bCs/>
          <w:i/>
          <w:iCs/>
          <w:szCs w:val="24"/>
        </w:rPr>
        <w:t xml:space="preserve">RECURSO EXTRAORDINÁRIO COM AGRAVO. TRIBUTÁRIO. MANDADO DE SEGURANÇA. IMPOSTO SOBRE TRANSMISSÃO DE BENS IMÓVEIS - ITBI. FATO GERADOR. COBRANÇA DO TRIBUTO SOBRE CESSÃO DE DIREITOS. IMPOSSIBILIDADE. EXIGÊNCIA DA TRANSFERÊNCIA EFETIVA DA PROPRIEDADE IMOBILIÁRIA MEDIANTE REGISTRO EM CARTÓRIO. PRECEDENTES. MULTIPLICIDADE DE RECURSOS EXTRAORDINÁRIOS. ENTENDIMENTO </w:t>
      </w:r>
      <w:r w:rsidRPr="005125EB">
        <w:rPr>
          <w:rFonts w:cs="Arial"/>
          <w:bCs/>
          <w:i/>
          <w:iCs/>
          <w:szCs w:val="24"/>
        </w:rPr>
        <w:lastRenderedPageBreak/>
        <w:t>CONSOLIDADO NA JURISPRUDÊNCIA DO SUPREMO TRIBUNAL FEDERAL. CONTROVÉRSIA CONSTITUCIONAL DOTADA DE REPERCUSSÃO GERAL. REAFIRMAÇÃO DA JURISPRUDÊNCIA DO SUPREMO TRIBUNAL FEDERAL. AGRAVO CONHECIDO. RECURSO EXTRAORDINÁRIO DESPROVIDO.ARE 1294969 RG. Órgão julgador: Tribunal Pleno. Relator(a): MINISTRO PRESIDENTE. Julgamento: 11/02/2021. Publicação: 19/02/2021</w:t>
      </w:r>
    </w:p>
    <w:p w:rsidR="005125EB" w:rsidRDefault="005125EB" w:rsidP="005125EB">
      <w:pPr>
        <w:spacing w:line="360" w:lineRule="auto"/>
        <w:ind w:firstLine="2835"/>
        <w:jc w:val="both"/>
        <w:rPr>
          <w:rFonts w:cs="Arial"/>
          <w:bCs/>
          <w:szCs w:val="24"/>
        </w:rPr>
      </w:pPr>
    </w:p>
    <w:p w:rsidR="005125EB" w:rsidRDefault="005125EB" w:rsidP="005125EB">
      <w:pPr>
        <w:spacing w:line="360" w:lineRule="auto"/>
        <w:ind w:firstLine="2835"/>
        <w:jc w:val="both"/>
        <w:rPr>
          <w:rFonts w:cs="Arial"/>
          <w:bCs/>
          <w:szCs w:val="24"/>
        </w:rPr>
      </w:pPr>
      <w:r w:rsidRPr="005125EB">
        <w:rPr>
          <w:rFonts w:cs="Arial"/>
          <w:bCs/>
          <w:szCs w:val="24"/>
        </w:rPr>
        <w:t xml:space="preserve">Diante do exposto, dado a relevante e imprescindível matéria tratar diretamente na revisão em matéria tributária, e dado o momento econômico e financeiro se requer, além da inequívoca demonstração de ilegalidade da forma exigida para a satisfação do crédito tributário, contamos com o apoio dos nobres pares para o fim de aprovarem o presente projeto, mediante o salutar debate em defesa dos interesses dos nossos </w:t>
      </w:r>
      <w:r>
        <w:rPr>
          <w:rFonts w:cs="Arial"/>
          <w:bCs/>
          <w:szCs w:val="24"/>
        </w:rPr>
        <w:t xml:space="preserve">munícipes </w:t>
      </w:r>
      <w:r w:rsidRPr="005125EB">
        <w:rPr>
          <w:rFonts w:cs="Arial"/>
          <w:bCs/>
          <w:szCs w:val="24"/>
        </w:rPr>
        <w:t>e correção de injustiças deparadas.</w:t>
      </w:r>
    </w:p>
    <w:p w:rsidR="005125EB" w:rsidRDefault="005125EB" w:rsidP="005125EB">
      <w:pPr>
        <w:spacing w:line="360" w:lineRule="auto"/>
        <w:ind w:firstLine="2835"/>
        <w:jc w:val="both"/>
        <w:rPr>
          <w:rFonts w:cs="Arial"/>
          <w:bCs/>
          <w:szCs w:val="24"/>
        </w:rPr>
      </w:pPr>
    </w:p>
    <w:p w:rsidR="0080458F" w:rsidRPr="006A4063" w:rsidRDefault="0080458F" w:rsidP="00A04FF1">
      <w:pPr>
        <w:jc w:val="right"/>
        <w:rPr>
          <w:rFonts w:cs="Arial"/>
          <w:snapToGrid w:val="0"/>
          <w:szCs w:val="24"/>
        </w:rPr>
      </w:pPr>
    </w:p>
    <w:p w:rsidR="00A04FF1" w:rsidRDefault="00A04FF1" w:rsidP="00F6423A">
      <w:pPr>
        <w:jc w:val="center"/>
        <w:rPr>
          <w:rFonts w:cs="Arial"/>
          <w:snapToGrid w:val="0"/>
          <w:szCs w:val="24"/>
        </w:rPr>
      </w:pPr>
      <w:r w:rsidRPr="006A4063">
        <w:rPr>
          <w:rFonts w:cs="Arial"/>
          <w:snapToGrid w:val="0"/>
          <w:szCs w:val="24"/>
        </w:rPr>
        <w:t xml:space="preserve">Valinhos, </w:t>
      </w:r>
      <w:r w:rsidR="00F6423A">
        <w:rPr>
          <w:rFonts w:cs="Arial"/>
          <w:snapToGrid w:val="0"/>
          <w:szCs w:val="24"/>
        </w:rPr>
        <w:t>02 de agosto de 2022.</w:t>
      </w:r>
    </w:p>
    <w:p w:rsidR="00F6423A" w:rsidRDefault="00F6423A" w:rsidP="00F6423A">
      <w:pPr>
        <w:jc w:val="center"/>
        <w:rPr>
          <w:rFonts w:cs="Arial"/>
          <w:snapToGrid w:val="0"/>
          <w:szCs w:val="24"/>
        </w:rPr>
      </w:pPr>
    </w:p>
    <w:p w:rsidR="00F6423A" w:rsidRDefault="00F6423A" w:rsidP="00F6423A">
      <w:pPr>
        <w:jc w:val="center"/>
        <w:rPr>
          <w:rFonts w:cs="Arial"/>
          <w:snapToGrid w:val="0"/>
          <w:szCs w:val="24"/>
        </w:rPr>
      </w:pPr>
    </w:p>
    <w:p w:rsidR="00F6423A" w:rsidRPr="006A4063" w:rsidRDefault="00F6423A" w:rsidP="00F6423A">
      <w:pPr>
        <w:jc w:val="center"/>
        <w:rPr>
          <w:rFonts w:cs="Arial"/>
          <w:szCs w:val="24"/>
        </w:rPr>
      </w:pPr>
    </w:p>
    <w:p w:rsidR="00A04FF1" w:rsidRPr="006A4063" w:rsidRDefault="00A04FF1" w:rsidP="00F6423A">
      <w:pPr>
        <w:widowControl w:val="0"/>
        <w:ind w:left="1843"/>
        <w:jc w:val="center"/>
        <w:rPr>
          <w:rFonts w:cs="Arial"/>
          <w:bCs/>
          <w:szCs w:val="24"/>
        </w:rPr>
      </w:pPr>
    </w:p>
    <w:p w:rsidR="0080458F" w:rsidRDefault="00F6423A" w:rsidP="00F6423A">
      <w:pPr>
        <w:widowControl w:val="0"/>
        <w:jc w:val="center"/>
        <w:rPr>
          <w:rFonts w:cs="Arial"/>
          <w:b/>
          <w:snapToGrid w:val="0"/>
          <w:szCs w:val="24"/>
        </w:rPr>
      </w:pPr>
      <w:r>
        <w:rPr>
          <w:rFonts w:cs="Arial"/>
          <w:b/>
          <w:snapToGrid w:val="0"/>
          <w:szCs w:val="24"/>
        </w:rPr>
        <w:t>Franklin Duarte de Lima</w:t>
      </w:r>
    </w:p>
    <w:p w:rsidR="00F6423A" w:rsidRPr="006A4063" w:rsidRDefault="00F6423A" w:rsidP="00F6423A">
      <w:pPr>
        <w:widowControl w:val="0"/>
        <w:jc w:val="center"/>
        <w:rPr>
          <w:rFonts w:cs="Arial"/>
          <w:b/>
          <w:snapToGrid w:val="0"/>
          <w:szCs w:val="24"/>
        </w:rPr>
      </w:pPr>
      <w:r>
        <w:rPr>
          <w:rFonts w:cs="Arial"/>
          <w:b/>
          <w:snapToGrid w:val="0"/>
          <w:szCs w:val="24"/>
        </w:rPr>
        <w:t>Vereador</w:t>
      </w:r>
    </w:p>
    <w:p w:rsidR="0080458F" w:rsidRPr="006A4063" w:rsidRDefault="0080458F" w:rsidP="00F6423A">
      <w:pPr>
        <w:spacing w:after="200" w:line="276" w:lineRule="auto"/>
        <w:jc w:val="center"/>
        <w:rPr>
          <w:rFonts w:cs="Arial"/>
          <w:b/>
          <w:snapToGrid w:val="0"/>
          <w:szCs w:val="24"/>
        </w:rPr>
      </w:pPr>
      <w:r w:rsidRPr="006A4063">
        <w:rPr>
          <w:rFonts w:cs="Arial"/>
          <w:b/>
          <w:snapToGrid w:val="0"/>
          <w:szCs w:val="24"/>
        </w:rPr>
        <w:br w:type="page"/>
      </w:r>
    </w:p>
    <w:p w:rsidR="00534972" w:rsidRPr="006A4063" w:rsidRDefault="0077671C" w:rsidP="0077671C">
      <w:pPr>
        <w:widowControl w:val="0"/>
        <w:spacing w:line="360" w:lineRule="auto"/>
        <w:ind w:firstLine="2835"/>
        <w:jc w:val="both"/>
        <w:rPr>
          <w:rFonts w:cs="Arial"/>
          <w:b/>
          <w:bCs/>
          <w:szCs w:val="24"/>
          <w:u w:val="single"/>
        </w:rPr>
      </w:pPr>
      <w:r w:rsidRPr="006A4063">
        <w:rPr>
          <w:rFonts w:cs="Arial"/>
          <w:b/>
          <w:bCs/>
          <w:szCs w:val="24"/>
          <w:u w:val="single"/>
        </w:rPr>
        <w:lastRenderedPageBreak/>
        <w:t xml:space="preserve">LEI Nº </w:t>
      </w:r>
    </w:p>
    <w:p w:rsidR="0077671C" w:rsidRPr="00F6423A" w:rsidRDefault="0077671C" w:rsidP="0077671C">
      <w:pPr>
        <w:widowControl w:val="0"/>
        <w:spacing w:line="360" w:lineRule="auto"/>
        <w:ind w:firstLine="2835"/>
        <w:jc w:val="both"/>
        <w:rPr>
          <w:rFonts w:cs="Arial"/>
          <w:b/>
          <w:bCs/>
          <w:sz w:val="20"/>
        </w:rPr>
      </w:pPr>
    </w:p>
    <w:p w:rsidR="0077671C" w:rsidRPr="00F6423A" w:rsidRDefault="00F6423A" w:rsidP="0077671C">
      <w:pPr>
        <w:widowControl w:val="0"/>
        <w:spacing w:line="360" w:lineRule="auto"/>
        <w:ind w:left="2835"/>
        <w:jc w:val="both"/>
        <w:rPr>
          <w:rFonts w:cs="Arial"/>
          <w:b/>
          <w:bCs/>
          <w:szCs w:val="24"/>
        </w:rPr>
      </w:pPr>
      <w:r w:rsidRPr="00F6423A">
        <w:rPr>
          <w:rFonts w:cs="Arial"/>
          <w:b/>
          <w:bCs/>
          <w:szCs w:val="24"/>
        </w:rPr>
        <w:t>“</w:t>
      </w:r>
      <w:r w:rsidRPr="00F6423A">
        <w:rPr>
          <w:rFonts w:cs="Arial"/>
          <w:b/>
          <w:szCs w:val="24"/>
        </w:rPr>
        <w:t>Dispõe sobre a revogação o inciso IX do artigo 191, da Lei Municipal 3915/05, que institui o Código Tributário do Município de Valinhos, dispõe sobre o sistema tributário do Município e dá outras providências</w:t>
      </w:r>
      <w:r w:rsidRPr="00F6423A">
        <w:rPr>
          <w:rFonts w:cs="Arial"/>
          <w:b/>
          <w:bCs/>
          <w:szCs w:val="24"/>
        </w:rPr>
        <w:t>.”</w:t>
      </w:r>
    </w:p>
    <w:p w:rsidR="0077671C" w:rsidRPr="006A4063" w:rsidRDefault="0077671C" w:rsidP="0077671C">
      <w:pPr>
        <w:widowControl w:val="0"/>
        <w:spacing w:line="360" w:lineRule="auto"/>
        <w:ind w:left="2835"/>
        <w:jc w:val="both"/>
        <w:rPr>
          <w:rFonts w:cs="Arial"/>
          <w:b/>
          <w:bCs/>
          <w:szCs w:val="24"/>
        </w:rPr>
      </w:pPr>
    </w:p>
    <w:p w:rsidR="0077671C" w:rsidRPr="006A4063" w:rsidRDefault="0077671C" w:rsidP="0077671C">
      <w:pPr>
        <w:widowControl w:val="0"/>
        <w:spacing w:line="360" w:lineRule="auto"/>
        <w:ind w:firstLine="2835"/>
        <w:jc w:val="both"/>
        <w:rPr>
          <w:rFonts w:cs="Arial"/>
          <w:color w:val="000000"/>
        </w:rPr>
      </w:pPr>
      <w:r w:rsidRPr="006A4063">
        <w:rPr>
          <w:rFonts w:cs="Arial"/>
          <w:b/>
          <w:bCs/>
          <w:szCs w:val="24"/>
        </w:rPr>
        <w:t>LUCIMARA</w:t>
      </w:r>
      <w:r w:rsidRPr="006A4063">
        <w:rPr>
          <w:rFonts w:cs="Arial"/>
          <w:b/>
          <w:color w:val="000000"/>
        </w:rPr>
        <w:t xml:space="preserve"> GODOY VILAS BOAS</w:t>
      </w:r>
      <w:r w:rsidRPr="006A4063">
        <w:rPr>
          <w:rFonts w:cs="Arial"/>
          <w:color w:val="000000"/>
        </w:rPr>
        <w:t>, Prefeita do Município de Valinhos, no uso das atribuições que lhe são conferidas pelo artigo 80, inciso III, da Lei Orgânica do Município,</w:t>
      </w:r>
    </w:p>
    <w:p w:rsidR="0077671C" w:rsidRPr="006A4063" w:rsidRDefault="0077671C" w:rsidP="0077671C">
      <w:pPr>
        <w:tabs>
          <w:tab w:val="left" w:pos="567"/>
          <w:tab w:val="left" w:pos="2693"/>
          <w:tab w:val="left" w:leader="dot" w:pos="6803"/>
          <w:tab w:val="right" w:pos="8504"/>
          <w:tab w:val="left" w:pos="8787"/>
        </w:tabs>
        <w:spacing w:line="360" w:lineRule="auto"/>
        <w:jc w:val="both"/>
        <w:rPr>
          <w:rFonts w:cs="Arial"/>
          <w:color w:val="000000"/>
        </w:rPr>
      </w:pPr>
    </w:p>
    <w:p w:rsidR="0077671C" w:rsidRPr="006A4063" w:rsidRDefault="0077671C" w:rsidP="0077671C">
      <w:pPr>
        <w:widowControl w:val="0"/>
        <w:spacing w:line="360" w:lineRule="auto"/>
        <w:ind w:firstLine="2835"/>
        <w:jc w:val="both"/>
        <w:rPr>
          <w:rFonts w:cs="Arial"/>
          <w:color w:val="000000"/>
        </w:rPr>
      </w:pPr>
      <w:r w:rsidRPr="006A4063">
        <w:rPr>
          <w:rFonts w:cs="Arial"/>
          <w:b/>
          <w:bCs/>
          <w:szCs w:val="24"/>
        </w:rPr>
        <w:t>FAZ</w:t>
      </w:r>
      <w:r w:rsidRPr="006A4063">
        <w:rPr>
          <w:rFonts w:cs="Arial"/>
          <w:b/>
          <w:color w:val="000000"/>
        </w:rPr>
        <w:t xml:space="preserve"> SABER </w:t>
      </w:r>
      <w:r w:rsidRPr="006A4063">
        <w:rPr>
          <w:rFonts w:cs="Arial"/>
          <w:color w:val="000000"/>
        </w:rPr>
        <w:t>que a Câmara Municipal aprovou e ela sanciona e promulga a seguinte Lei:</w:t>
      </w:r>
    </w:p>
    <w:p w:rsidR="0077671C" w:rsidRPr="006A4063" w:rsidRDefault="0077671C" w:rsidP="0077671C">
      <w:pPr>
        <w:widowControl w:val="0"/>
        <w:spacing w:line="360" w:lineRule="auto"/>
        <w:ind w:left="2835"/>
        <w:jc w:val="both"/>
        <w:rPr>
          <w:rFonts w:cs="Arial"/>
          <w:b/>
          <w:bCs/>
          <w:szCs w:val="24"/>
        </w:rPr>
      </w:pPr>
    </w:p>
    <w:p w:rsidR="005125EB" w:rsidRPr="005125EB" w:rsidRDefault="005125EB" w:rsidP="005125EB">
      <w:pPr>
        <w:widowControl w:val="0"/>
        <w:spacing w:line="360" w:lineRule="auto"/>
        <w:ind w:left="2835"/>
        <w:jc w:val="both"/>
        <w:rPr>
          <w:rFonts w:cs="Arial"/>
          <w:szCs w:val="24"/>
        </w:rPr>
      </w:pPr>
      <w:r w:rsidRPr="005125EB">
        <w:rPr>
          <w:rFonts w:cs="Arial"/>
          <w:b/>
          <w:bCs/>
          <w:szCs w:val="24"/>
        </w:rPr>
        <w:t xml:space="preserve">Art. 1º. </w:t>
      </w:r>
      <w:r w:rsidRPr="005125EB">
        <w:rPr>
          <w:rFonts w:cs="Arial"/>
          <w:szCs w:val="24"/>
        </w:rPr>
        <w:t xml:space="preserve">Fica revogado o inciso IX do artigo 191, da Lei Municipal 3915/05, que institui o Código Tributário do Município de Valinhos, dispõe sobre o sistema tributário do Município e dá outras providências. </w:t>
      </w:r>
    </w:p>
    <w:p w:rsidR="005125EB" w:rsidRPr="005125EB" w:rsidRDefault="005125EB" w:rsidP="005125EB">
      <w:pPr>
        <w:widowControl w:val="0"/>
        <w:spacing w:line="360" w:lineRule="auto"/>
        <w:ind w:left="2835"/>
        <w:jc w:val="both"/>
        <w:rPr>
          <w:rFonts w:cs="Arial"/>
          <w:b/>
          <w:bCs/>
          <w:szCs w:val="24"/>
        </w:rPr>
      </w:pPr>
    </w:p>
    <w:p w:rsidR="005125EB" w:rsidRPr="005125EB" w:rsidRDefault="005125EB" w:rsidP="005125EB">
      <w:pPr>
        <w:widowControl w:val="0"/>
        <w:spacing w:line="360" w:lineRule="auto"/>
        <w:ind w:left="2835"/>
        <w:jc w:val="both"/>
        <w:rPr>
          <w:rFonts w:cs="Arial"/>
          <w:szCs w:val="24"/>
        </w:rPr>
      </w:pPr>
      <w:r w:rsidRPr="005125EB">
        <w:rPr>
          <w:rFonts w:cs="Arial"/>
          <w:b/>
          <w:bCs/>
          <w:szCs w:val="24"/>
        </w:rPr>
        <w:t xml:space="preserve">Art. 2º. </w:t>
      </w:r>
      <w:r w:rsidRPr="005125EB">
        <w:rPr>
          <w:rFonts w:cs="Arial"/>
          <w:szCs w:val="24"/>
        </w:rPr>
        <w:t>Esta Lei entra em vigor, na data de sua publicação, revogando-se as disposições em contrário.</w:t>
      </w:r>
    </w:p>
    <w:p w:rsidR="005125EB" w:rsidRPr="005125EB" w:rsidRDefault="005125EB" w:rsidP="005125EB">
      <w:pPr>
        <w:widowControl w:val="0"/>
        <w:spacing w:line="360" w:lineRule="auto"/>
        <w:ind w:left="2835"/>
        <w:jc w:val="both"/>
        <w:rPr>
          <w:rFonts w:cs="Arial"/>
          <w:szCs w:val="24"/>
        </w:rPr>
      </w:pPr>
    </w:p>
    <w:p w:rsidR="0077671C" w:rsidRPr="006A4063" w:rsidRDefault="0077671C" w:rsidP="0077671C">
      <w:pPr>
        <w:widowControl w:val="0"/>
        <w:tabs>
          <w:tab w:val="left" w:pos="3402"/>
        </w:tabs>
        <w:ind w:firstLine="2835"/>
        <w:jc w:val="both"/>
        <w:rPr>
          <w:rFonts w:eastAsia="Calibri" w:cs="Arial"/>
          <w:snapToGrid w:val="0"/>
          <w:szCs w:val="24"/>
          <w:lang w:eastAsia="en-US"/>
        </w:rPr>
      </w:pPr>
      <w:r w:rsidRPr="006A4063">
        <w:rPr>
          <w:rFonts w:eastAsia="Calibri" w:cs="Arial"/>
          <w:snapToGrid w:val="0"/>
          <w:szCs w:val="24"/>
          <w:lang w:eastAsia="en-US"/>
        </w:rPr>
        <w:t>Prefeitura do Município de Valinhos,</w:t>
      </w:r>
    </w:p>
    <w:p w:rsidR="0077671C" w:rsidRPr="006A4063" w:rsidRDefault="0077671C" w:rsidP="0077671C">
      <w:pPr>
        <w:widowControl w:val="0"/>
        <w:tabs>
          <w:tab w:val="left" w:pos="3402"/>
        </w:tabs>
        <w:spacing w:line="360" w:lineRule="auto"/>
        <w:ind w:firstLine="2835"/>
        <w:jc w:val="both"/>
        <w:rPr>
          <w:rFonts w:eastAsia="Calibri" w:cs="Arial"/>
          <w:snapToGrid w:val="0"/>
          <w:szCs w:val="24"/>
          <w:lang w:eastAsia="en-US"/>
        </w:rPr>
      </w:pPr>
      <w:r w:rsidRPr="006A4063">
        <w:rPr>
          <w:rFonts w:eastAsia="Calibri" w:cs="Arial"/>
          <w:snapToGrid w:val="0"/>
          <w:szCs w:val="24"/>
          <w:lang w:eastAsia="en-US"/>
        </w:rPr>
        <w:t xml:space="preserve">aos </w:t>
      </w:r>
    </w:p>
    <w:p w:rsidR="0077671C" w:rsidRPr="006A4063" w:rsidRDefault="0077671C" w:rsidP="0077671C">
      <w:pPr>
        <w:widowControl w:val="0"/>
        <w:spacing w:line="360" w:lineRule="auto"/>
        <w:ind w:firstLine="2835"/>
        <w:jc w:val="both"/>
        <w:rPr>
          <w:rFonts w:eastAsia="Calibri" w:cs="Arial"/>
          <w:snapToGrid w:val="0"/>
          <w:szCs w:val="24"/>
          <w:lang w:eastAsia="en-US"/>
        </w:rPr>
      </w:pPr>
    </w:p>
    <w:p w:rsidR="0077671C" w:rsidRPr="006A4063" w:rsidRDefault="0077671C" w:rsidP="0077671C">
      <w:pPr>
        <w:keepNext/>
        <w:widowControl w:val="0"/>
        <w:snapToGrid w:val="0"/>
        <w:spacing w:line="276" w:lineRule="auto"/>
        <w:ind w:firstLine="2835"/>
        <w:jc w:val="both"/>
        <w:outlineLvl w:val="7"/>
        <w:rPr>
          <w:rFonts w:cs="Arial"/>
          <w:b/>
          <w:szCs w:val="24"/>
        </w:rPr>
      </w:pPr>
      <w:r w:rsidRPr="006A4063">
        <w:rPr>
          <w:rFonts w:cs="Arial"/>
          <w:b/>
          <w:snapToGrid w:val="0"/>
          <w:szCs w:val="24"/>
        </w:rPr>
        <w:t>LUCIMARA GODOY VILAS BOAS</w:t>
      </w:r>
    </w:p>
    <w:p w:rsidR="0077671C" w:rsidRPr="006A4063" w:rsidRDefault="0077671C" w:rsidP="0077671C">
      <w:pPr>
        <w:keepNext/>
        <w:widowControl w:val="0"/>
        <w:snapToGrid w:val="0"/>
        <w:spacing w:line="276" w:lineRule="auto"/>
        <w:ind w:firstLine="2835"/>
        <w:jc w:val="both"/>
        <w:outlineLvl w:val="7"/>
        <w:rPr>
          <w:rFonts w:cs="Arial"/>
          <w:szCs w:val="24"/>
        </w:rPr>
      </w:pPr>
      <w:r w:rsidRPr="006A4063">
        <w:rPr>
          <w:rFonts w:cs="Arial"/>
          <w:b/>
          <w:szCs w:val="24"/>
        </w:rPr>
        <w:t xml:space="preserve">Prefeita Municipal </w:t>
      </w:r>
      <w:r w:rsidRPr="006A4063">
        <w:rPr>
          <w:rFonts w:cs="Arial"/>
          <w:b/>
          <w:szCs w:val="24"/>
        </w:rPr>
        <w:tab/>
      </w:r>
    </w:p>
    <w:p w:rsidR="0077671C" w:rsidRPr="006A4063" w:rsidRDefault="0077671C" w:rsidP="0077671C">
      <w:pPr>
        <w:widowControl w:val="0"/>
        <w:spacing w:line="360" w:lineRule="auto"/>
        <w:ind w:left="2835"/>
        <w:jc w:val="both"/>
        <w:rPr>
          <w:rFonts w:cs="Arial"/>
          <w:b/>
          <w:bCs/>
          <w:szCs w:val="24"/>
        </w:rPr>
      </w:pPr>
    </w:p>
    <w:sectPr w:rsidR="0077671C" w:rsidRPr="006A4063" w:rsidSect="009B0EE4">
      <w:headerReference w:type="default" r:id="rId7"/>
      <w:footerReference w:type="default" r:id="rId8"/>
      <w:headerReference w:type="first" r:id="rId9"/>
      <w:footerReference w:type="first" r:id="rId10"/>
      <w:pgSz w:w="11906" w:h="16838"/>
      <w:pgMar w:top="2836" w:right="1133" w:bottom="1418" w:left="1701" w:header="567" w:footer="3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F6" w:rsidRDefault="00F573F6" w:rsidP="00203FA5">
      <w:r>
        <w:separator/>
      </w:r>
    </w:p>
  </w:endnote>
  <w:endnote w:type="continuationSeparator" w:id="0">
    <w:p w:rsidR="00F573F6" w:rsidRDefault="00F573F6" w:rsidP="0020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66" w:rsidRDefault="00686D66" w:rsidP="00686D66">
    <w:pPr>
      <w:pStyle w:val="Rodap"/>
      <w:pBdr>
        <w:bottom w:val="single" w:sz="12" w:space="1" w:color="auto"/>
      </w:pBdr>
      <w:ind w:right="-567" w:hanging="1134"/>
      <w:jc w:val="right"/>
      <w:rPr>
        <w:rFonts w:cs="Arial"/>
        <w:sz w:val="18"/>
        <w:szCs w:val="18"/>
      </w:rPr>
    </w:pPr>
    <w:r>
      <w:rPr>
        <w:rFonts w:cs="Arial"/>
        <w:sz w:val="18"/>
        <w:szCs w:val="18"/>
      </w:rPr>
      <w:t xml:space="preserve">Página </w:t>
    </w:r>
    <w:r w:rsidR="00FC03C8">
      <w:rPr>
        <w:rFonts w:cs="Arial"/>
        <w:b/>
        <w:sz w:val="18"/>
        <w:szCs w:val="18"/>
      </w:rPr>
      <w:fldChar w:fldCharType="begin"/>
    </w:r>
    <w:r>
      <w:rPr>
        <w:rFonts w:cs="Arial"/>
        <w:b/>
        <w:sz w:val="18"/>
        <w:szCs w:val="18"/>
      </w:rPr>
      <w:instrText>PAGE  \* Arabic  \* MERGEFORMAT</w:instrText>
    </w:r>
    <w:r w:rsidR="00FC03C8">
      <w:rPr>
        <w:rFonts w:cs="Arial"/>
        <w:b/>
        <w:sz w:val="18"/>
        <w:szCs w:val="18"/>
      </w:rPr>
      <w:fldChar w:fldCharType="separate"/>
    </w:r>
    <w:r w:rsidR="00ED3099">
      <w:rPr>
        <w:rFonts w:cs="Arial"/>
        <w:b/>
        <w:noProof/>
        <w:sz w:val="18"/>
        <w:szCs w:val="18"/>
      </w:rPr>
      <w:t>4</w:t>
    </w:r>
    <w:r w:rsidR="00FC03C8">
      <w:rPr>
        <w:rFonts w:cs="Arial"/>
        <w:b/>
        <w:sz w:val="18"/>
        <w:szCs w:val="18"/>
      </w:rPr>
      <w:fldChar w:fldCharType="end"/>
    </w:r>
    <w:r>
      <w:rPr>
        <w:rFonts w:cs="Arial"/>
        <w:sz w:val="18"/>
        <w:szCs w:val="18"/>
      </w:rPr>
      <w:t xml:space="preserve"> de </w:t>
    </w:r>
    <w:r w:rsidR="00F573F6">
      <w:fldChar w:fldCharType="begin"/>
    </w:r>
    <w:r w:rsidR="00F573F6">
      <w:instrText>NUMPAGES  \* Arabic  \* MERGEFORMAT</w:instrText>
    </w:r>
    <w:r w:rsidR="00F573F6">
      <w:fldChar w:fldCharType="separate"/>
    </w:r>
    <w:r w:rsidR="00ED3099" w:rsidRPr="00ED3099">
      <w:rPr>
        <w:rFonts w:cs="Arial"/>
        <w:b/>
        <w:noProof/>
        <w:sz w:val="18"/>
        <w:szCs w:val="18"/>
      </w:rPr>
      <w:t>4</w:t>
    </w:r>
    <w:r w:rsidR="00F573F6">
      <w:rPr>
        <w:rFonts w:cs="Arial"/>
        <w:b/>
        <w:noProof/>
        <w:sz w:val="18"/>
        <w:szCs w:val="18"/>
      </w:rPr>
      <w:fldChar w:fldCharType="end"/>
    </w:r>
  </w:p>
  <w:p w:rsidR="00686D66" w:rsidRDefault="00686D66" w:rsidP="00686D66">
    <w:pPr>
      <w:pStyle w:val="Rodap"/>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proofErr w:type="spellStart"/>
    <w:r>
      <w:rPr>
        <w:rFonts w:eastAsia="Arial Unicode MS" w:cs="Arial"/>
        <w:color w:val="17365D" w:themeColor="text2" w:themeShade="BF"/>
        <w:sz w:val="17"/>
        <w:szCs w:val="17"/>
      </w:rPr>
      <w:t>Schiavinato</w:t>
    </w:r>
    <w:proofErr w:type="spellEnd"/>
    <w:r>
      <w:rPr>
        <w:rFonts w:eastAsia="Arial Unicode MS" w:cs="Arial"/>
        <w:color w:val="17365D" w:themeColor="text2" w:themeShade="BF"/>
        <w:sz w:val="17"/>
        <w:szCs w:val="17"/>
      </w:rPr>
      <w:t>, nº 59 - Residencial São Luiz - CEP 13270-470 - Valinhos-SP</w:t>
    </w:r>
  </w:p>
  <w:p w:rsidR="00686D66" w:rsidRDefault="00686D66" w:rsidP="00686D66">
    <w:pPr>
      <w:pStyle w:val="Rodap"/>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66" w:rsidRDefault="00686D66" w:rsidP="00686D66">
    <w:pPr>
      <w:pStyle w:val="Rodap"/>
      <w:pBdr>
        <w:bottom w:val="single" w:sz="12" w:space="1" w:color="auto"/>
      </w:pBdr>
      <w:ind w:right="-567" w:hanging="1134"/>
      <w:jc w:val="right"/>
      <w:rPr>
        <w:rFonts w:cs="Arial"/>
        <w:sz w:val="18"/>
        <w:szCs w:val="18"/>
      </w:rPr>
    </w:pPr>
    <w:r>
      <w:rPr>
        <w:rFonts w:cs="Arial"/>
        <w:sz w:val="18"/>
        <w:szCs w:val="18"/>
      </w:rPr>
      <w:t xml:space="preserve">Página </w:t>
    </w:r>
    <w:r w:rsidR="00FC03C8">
      <w:rPr>
        <w:rFonts w:cs="Arial"/>
        <w:b/>
        <w:sz w:val="18"/>
        <w:szCs w:val="18"/>
      </w:rPr>
      <w:fldChar w:fldCharType="begin"/>
    </w:r>
    <w:r>
      <w:rPr>
        <w:rFonts w:cs="Arial"/>
        <w:b/>
        <w:sz w:val="18"/>
        <w:szCs w:val="18"/>
      </w:rPr>
      <w:instrText>PAGE  \* Arabic  \* MERGEFORMAT</w:instrText>
    </w:r>
    <w:r w:rsidR="00FC03C8">
      <w:rPr>
        <w:rFonts w:cs="Arial"/>
        <w:b/>
        <w:sz w:val="18"/>
        <w:szCs w:val="18"/>
      </w:rPr>
      <w:fldChar w:fldCharType="separate"/>
    </w:r>
    <w:r w:rsidR="00ED3099">
      <w:rPr>
        <w:rFonts w:cs="Arial"/>
        <w:b/>
        <w:noProof/>
        <w:sz w:val="18"/>
        <w:szCs w:val="18"/>
      </w:rPr>
      <w:t>1</w:t>
    </w:r>
    <w:r w:rsidR="00FC03C8">
      <w:rPr>
        <w:rFonts w:cs="Arial"/>
        <w:b/>
        <w:sz w:val="18"/>
        <w:szCs w:val="18"/>
      </w:rPr>
      <w:fldChar w:fldCharType="end"/>
    </w:r>
    <w:r>
      <w:rPr>
        <w:rFonts w:cs="Arial"/>
        <w:sz w:val="18"/>
        <w:szCs w:val="18"/>
      </w:rPr>
      <w:t xml:space="preserve"> de </w:t>
    </w:r>
    <w:r w:rsidR="00F573F6">
      <w:fldChar w:fldCharType="begin"/>
    </w:r>
    <w:r w:rsidR="00F573F6">
      <w:instrText>NUMPAGES  \* Arabic  \* MERGEFORMAT</w:instrText>
    </w:r>
    <w:r w:rsidR="00F573F6">
      <w:fldChar w:fldCharType="separate"/>
    </w:r>
    <w:r w:rsidR="00ED3099" w:rsidRPr="00ED3099">
      <w:rPr>
        <w:rFonts w:cs="Arial"/>
        <w:b/>
        <w:noProof/>
        <w:sz w:val="18"/>
        <w:szCs w:val="18"/>
      </w:rPr>
      <w:t>4</w:t>
    </w:r>
    <w:r w:rsidR="00F573F6">
      <w:rPr>
        <w:rFonts w:cs="Arial"/>
        <w:b/>
        <w:noProof/>
        <w:sz w:val="18"/>
        <w:szCs w:val="18"/>
      </w:rPr>
      <w:fldChar w:fldCharType="end"/>
    </w:r>
  </w:p>
  <w:p w:rsidR="00686D66" w:rsidRDefault="00686D66" w:rsidP="00686D66">
    <w:pPr>
      <w:pStyle w:val="Rodap"/>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proofErr w:type="spellStart"/>
    <w:r>
      <w:rPr>
        <w:rFonts w:eastAsia="Arial Unicode MS" w:cs="Arial"/>
        <w:color w:val="17365D" w:themeColor="text2" w:themeShade="BF"/>
        <w:sz w:val="17"/>
        <w:szCs w:val="17"/>
      </w:rPr>
      <w:t>Schiavinato</w:t>
    </w:r>
    <w:proofErr w:type="spellEnd"/>
    <w:r>
      <w:rPr>
        <w:rFonts w:eastAsia="Arial Unicode MS" w:cs="Arial"/>
        <w:color w:val="17365D" w:themeColor="text2" w:themeShade="BF"/>
        <w:sz w:val="17"/>
        <w:szCs w:val="17"/>
      </w:rPr>
      <w:t>, nº 59 - Residencial São Luiz - CEP 13270-470 - Valinhos-SP</w:t>
    </w:r>
  </w:p>
  <w:p w:rsidR="00686D66" w:rsidRDefault="00686D66" w:rsidP="00686D66">
    <w:pPr>
      <w:pStyle w:val="Rodap"/>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F6" w:rsidRDefault="00F573F6" w:rsidP="00203FA5">
      <w:r>
        <w:separator/>
      </w:r>
    </w:p>
  </w:footnote>
  <w:footnote w:type="continuationSeparator" w:id="0">
    <w:p w:rsidR="00F573F6" w:rsidRDefault="00F573F6" w:rsidP="00203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8C" w:rsidRPr="000124B0" w:rsidRDefault="0038288C" w:rsidP="00FC47D9">
    <w:pPr>
      <w:pStyle w:val="Cabealho"/>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60288" behindDoc="1" locked="0" layoutInCell="1" allowOverlap="1" wp14:anchorId="4F9F5956" wp14:editId="2F33256A">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336" cy="4760686"/>
                  </a:xfrm>
                  <a:prstGeom prst="rect">
                    <a:avLst/>
                  </a:prstGeom>
                  <a:noFill/>
                  <a:ln>
                    <a:noFill/>
                  </a:ln>
                </pic:spPr>
              </pic:pic>
            </a:graphicData>
          </a:graphic>
        </wp:anchor>
      </w:drawing>
    </w:r>
    <w:r w:rsidRPr="000124B0">
      <w:rPr>
        <w:rFonts w:cs="Arial"/>
        <w:noProof/>
        <w:sz w:val="18"/>
        <w:szCs w:val="18"/>
      </w:rPr>
      <w:drawing>
        <wp:anchor distT="0" distB="0" distL="114300" distR="114300" simplePos="0" relativeHeight="251659264" behindDoc="0" locked="0" layoutInCell="1" allowOverlap="1" wp14:anchorId="582F1FEF" wp14:editId="22E8F828">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faelrodrigues\Dropbox\camara\logo ill-05-05.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255" t="15635" r="31125" b="8465"/>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anchor>
      </w:drawing>
    </w:r>
    <w:r w:rsidR="00FC47D9" w:rsidRPr="000124B0">
      <w:rPr>
        <w:rFonts w:cs="Arial"/>
        <w:noProof/>
        <w:sz w:val="18"/>
        <w:szCs w:val="18"/>
      </w:rPr>
      <w:t xml:space="preserve">Proc. Leg. nº </w:t>
    </w:r>
    <w:r w:rsidR="00ED3099">
      <w:rPr>
        <w:rFonts w:cs="Arial"/>
        <w:noProof/>
        <w:sz w:val="18"/>
        <w:szCs w:val="18"/>
      </w:rPr>
      <w:t>3937/2022</w:t>
    </w:r>
  </w:p>
  <w:p w:rsidR="00FC47D9" w:rsidRPr="00FC47D9" w:rsidRDefault="00FC47D9" w:rsidP="00FC47D9">
    <w:pPr>
      <w:pStyle w:val="Cabealho"/>
      <w:ind w:left="1134"/>
      <w:jc w:val="right"/>
      <w:rPr>
        <w:rFonts w:ascii="Times New Roman" w:hAnsi="Times New Roman"/>
        <w:b/>
        <w:noProof/>
        <w:color w:val="5F497A" w:themeColor="accent4" w:themeShade="BF"/>
        <w:sz w:val="20"/>
      </w:rPr>
    </w:pPr>
  </w:p>
  <w:p w:rsidR="0038288C" w:rsidRPr="004420DB" w:rsidRDefault="0038288C" w:rsidP="0038288C">
    <w:pPr>
      <w:pStyle w:val="Cabealho"/>
      <w:spacing w:line="276" w:lineRule="auto"/>
      <w:ind w:left="1134"/>
      <w:jc w:val="center"/>
      <w:rPr>
        <w:b/>
        <w:noProof/>
        <w:color w:val="5F497A" w:themeColor="accent4" w:themeShade="BF"/>
        <w:sz w:val="6"/>
        <w:szCs w:val="72"/>
      </w:rPr>
    </w:pPr>
  </w:p>
  <w:p w:rsidR="0038288C" w:rsidRPr="008743E5" w:rsidRDefault="0038288C" w:rsidP="0038288C">
    <w:pPr>
      <w:pStyle w:val="Cabealho"/>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38288C" w:rsidRPr="008743E5" w:rsidRDefault="0038288C" w:rsidP="0038288C">
    <w:pPr>
      <w:pStyle w:val="Cabealho"/>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RDefault="009B0EE4" w:rsidP="0038288C">
    <w:pPr>
      <w:pStyle w:val="Cabealho"/>
      <w:rPr>
        <w:rFonts w:ascii="Times New Roman" w:hAnsi="Times New Roman"/>
        <w:b/>
        <w:sz w:val="2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E4" w:rsidRDefault="009B0EE4" w:rsidP="009B0EE4">
    <w:pPr>
      <w:pStyle w:val="Cabealho"/>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3360" behindDoc="1" locked="0" layoutInCell="1" allowOverlap="1" wp14:anchorId="2E44A78D" wp14:editId="1ADC8745">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336" cy="4760686"/>
                  </a:xfrm>
                  <a:prstGeom prst="rect">
                    <a:avLst/>
                  </a:prstGeom>
                  <a:noFill/>
                  <a:ln>
                    <a:noFill/>
                  </a:ln>
                </pic:spPr>
              </pic:pic>
            </a:graphicData>
          </a:graphic>
        </wp:anchor>
      </w:drawing>
    </w:r>
    <w:r w:rsidRPr="00FC47D9">
      <w:rPr>
        <w:rFonts w:ascii="Times New Roman" w:hAnsi="Times New Roman"/>
        <w:noProof/>
        <w:sz w:val="20"/>
      </w:rPr>
      <w:drawing>
        <wp:anchor distT="0" distB="0" distL="114300" distR="114300" simplePos="0" relativeHeight="251662336" behindDoc="0" locked="0" layoutInCell="1" allowOverlap="1" wp14:anchorId="193E1AA4" wp14:editId="7E90BE5F">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faelrodrigues\Dropbox\camara\logo ill-05-05.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255" t="15635" r="31125" b="8465"/>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anchor>
      </w:drawing>
    </w:r>
  </w:p>
  <w:p w:rsidR="009B0EE4" w:rsidRPr="0068721F" w:rsidRDefault="009B0EE4" w:rsidP="009B0EE4">
    <w:pPr>
      <w:pStyle w:val="Cabealho"/>
      <w:ind w:left="1134"/>
      <w:jc w:val="right"/>
      <w:rPr>
        <w:rFonts w:cs="Arial"/>
        <w:sz w:val="18"/>
        <w:szCs w:val="18"/>
      </w:rPr>
    </w:pPr>
    <w:r w:rsidRPr="0068721F">
      <w:rPr>
        <w:rFonts w:cs="Arial"/>
        <w:noProof/>
        <w:sz w:val="18"/>
        <w:szCs w:val="18"/>
      </w:rPr>
      <w:t xml:space="preserve">Proc. Leg. nº </w:t>
    </w:r>
    <w:r w:rsidR="00ED3099">
      <w:rPr>
        <w:rFonts w:cs="Arial"/>
        <w:noProof/>
        <w:sz w:val="18"/>
        <w:szCs w:val="18"/>
      </w:rPr>
      <w:t>3937/2022</w:t>
    </w:r>
  </w:p>
  <w:p w:rsidR="009B0EE4" w:rsidRPr="00FC47D9" w:rsidRDefault="009B0EE4" w:rsidP="009B0EE4">
    <w:pPr>
      <w:pStyle w:val="Cabealho"/>
      <w:ind w:left="1134"/>
      <w:jc w:val="right"/>
      <w:rPr>
        <w:rFonts w:ascii="Times New Roman" w:hAnsi="Times New Roman"/>
        <w:b/>
        <w:noProof/>
        <w:color w:val="5F497A" w:themeColor="accent4" w:themeShade="BF"/>
        <w:sz w:val="20"/>
      </w:rPr>
    </w:pPr>
  </w:p>
  <w:p w:rsidR="009B0EE4" w:rsidRPr="004420DB" w:rsidRDefault="009B0EE4" w:rsidP="009B0EE4">
    <w:pPr>
      <w:pStyle w:val="Cabealho"/>
      <w:spacing w:line="276" w:lineRule="auto"/>
      <w:ind w:left="1134"/>
      <w:jc w:val="center"/>
      <w:rPr>
        <w:b/>
        <w:noProof/>
        <w:color w:val="5F497A" w:themeColor="accent4" w:themeShade="BF"/>
        <w:sz w:val="6"/>
        <w:szCs w:val="72"/>
      </w:rPr>
    </w:pPr>
  </w:p>
  <w:p w:rsidR="009B0EE4" w:rsidRPr="008743E5" w:rsidRDefault="009B0EE4" w:rsidP="009B0EE4">
    <w:pPr>
      <w:pStyle w:val="Cabealho"/>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9B0EE4" w:rsidRPr="008743E5" w:rsidRDefault="009B0EE4" w:rsidP="009B0EE4">
    <w:pPr>
      <w:pStyle w:val="Cabealho"/>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RDefault="009B0EE4" w:rsidP="009B0EE4">
    <w:pPr>
      <w:pStyle w:val="Cabealho"/>
      <w:ind w:left="-142"/>
    </w:pPr>
  </w:p>
  <w:p w:rsidR="009B0EE4" w:rsidRDefault="009B0EE4" w:rsidP="009B0EE4">
    <w:pPr>
      <w:pStyle w:val="Cabealho"/>
    </w:pPr>
  </w:p>
  <w:p w:rsidR="009B0EE4" w:rsidRDefault="009B0EE4" w:rsidP="009B0EE4">
    <w:pPr>
      <w:pStyle w:val="Cabealho"/>
    </w:pPr>
  </w:p>
  <w:p w:rsidR="009B0EE4" w:rsidRPr="0077671C" w:rsidRDefault="00455FF4" w:rsidP="009B0EE4">
    <w:pPr>
      <w:pStyle w:val="Cabealho"/>
      <w:rPr>
        <w:rFonts w:cs="Arial"/>
        <w:b/>
        <w:sz w:val="28"/>
        <w:szCs w:val="24"/>
      </w:rPr>
    </w:pPr>
    <w:r w:rsidRPr="0077671C">
      <w:rPr>
        <w:rFonts w:cs="Arial"/>
        <w:b/>
        <w:sz w:val="28"/>
        <w:szCs w:val="24"/>
      </w:rPr>
      <w:t xml:space="preserve">PROJETO DE LEI </w:t>
    </w:r>
    <w:r w:rsidR="009B0EE4" w:rsidRPr="0077671C">
      <w:rPr>
        <w:rFonts w:cs="Arial"/>
        <w:b/>
        <w:sz w:val="28"/>
        <w:szCs w:val="24"/>
      </w:rPr>
      <w:t xml:space="preserve">Nº </w:t>
    </w:r>
    <w:r w:rsidR="00ED3099">
      <w:rPr>
        <w:rFonts w:cs="Arial"/>
        <w:b/>
        <w:sz w:val="28"/>
        <w:szCs w:val="24"/>
      </w:rPr>
      <w:t>163/2022</w:t>
    </w:r>
  </w:p>
  <w:p w:rsidR="009B0EE4" w:rsidRPr="0038288C" w:rsidRDefault="009B0EE4" w:rsidP="009B0E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58CC"/>
    <w:rsid w:val="000124B0"/>
    <w:rsid w:val="00023210"/>
    <w:rsid w:val="0002388A"/>
    <w:rsid w:val="00030D7D"/>
    <w:rsid w:val="00040230"/>
    <w:rsid w:val="00063F44"/>
    <w:rsid w:val="000F7939"/>
    <w:rsid w:val="00103936"/>
    <w:rsid w:val="00154E6D"/>
    <w:rsid w:val="00166047"/>
    <w:rsid w:val="00187E11"/>
    <w:rsid w:val="001A68A6"/>
    <w:rsid w:val="001C7B4E"/>
    <w:rsid w:val="00203FA5"/>
    <w:rsid w:val="00227418"/>
    <w:rsid w:val="002406D6"/>
    <w:rsid w:val="00265627"/>
    <w:rsid w:val="00286E70"/>
    <w:rsid w:val="002B58CC"/>
    <w:rsid w:val="002F0A6A"/>
    <w:rsid w:val="00375D3F"/>
    <w:rsid w:val="0038288C"/>
    <w:rsid w:val="00391370"/>
    <w:rsid w:val="003B25A7"/>
    <w:rsid w:val="003F78E3"/>
    <w:rsid w:val="00404FFF"/>
    <w:rsid w:val="004333B6"/>
    <w:rsid w:val="00450741"/>
    <w:rsid w:val="00455FF4"/>
    <w:rsid w:val="00486790"/>
    <w:rsid w:val="00496A3E"/>
    <w:rsid w:val="004E3236"/>
    <w:rsid w:val="004E493C"/>
    <w:rsid w:val="005125EB"/>
    <w:rsid w:val="00515C6C"/>
    <w:rsid w:val="00534972"/>
    <w:rsid w:val="00540457"/>
    <w:rsid w:val="005408CC"/>
    <w:rsid w:val="00577379"/>
    <w:rsid w:val="005C7621"/>
    <w:rsid w:val="00641FA8"/>
    <w:rsid w:val="006610EE"/>
    <w:rsid w:val="006650D5"/>
    <w:rsid w:val="006773CA"/>
    <w:rsid w:val="006816B4"/>
    <w:rsid w:val="00686D66"/>
    <w:rsid w:val="0068721F"/>
    <w:rsid w:val="006A4063"/>
    <w:rsid w:val="006E514D"/>
    <w:rsid w:val="00720AA7"/>
    <w:rsid w:val="007229D9"/>
    <w:rsid w:val="007511D9"/>
    <w:rsid w:val="007562CD"/>
    <w:rsid w:val="0077671C"/>
    <w:rsid w:val="007815F5"/>
    <w:rsid w:val="007E468E"/>
    <w:rsid w:val="007F0968"/>
    <w:rsid w:val="00802901"/>
    <w:rsid w:val="0080458F"/>
    <w:rsid w:val="00812741"/>
    <w:rsid w:val="008444BE"/>
    <w:rsid w:val="008743E5"/>
    <w:rsid w:val="008A04F8"/>
    <w:rsid w:val="008C13C4"/>
    <w:rsid w:val="008D641C"/>
    <w:rsid w:val="008D7E34"/>
    <w:rsid w:val="00912224"/>
    <w:rsid w:val="0092098C"/>
    <w:rsid w:val="009426A2"/>
    <w:rsid w:val="00946FCF"/>
    <w:rsid w:val="009643C3"/>
    <w:rsid w:val="009B0EE4"/>
    <w:rsid w:val="009C1E5B"/>
    <w:rsid w:val="00A04FF1"/>
    <w:rsid w:val="00A2090C"/>
    <w:rsid w:val="00A46A51"/>
    <w:rsid w:val="00A762CA"/>
    <w:rsid w:val="00AD50A4"/>
    <w:rsid w:val="00AE69C4"/>
    <w:rsid w:val="00B15A41"/>
    <w:rsid w:val="00B75386"/>
    <w:rsid w:val="00BA2827"/>
    <w:rsid w:val="00C121B6"/>
    <w:rsid w:val="00C1360D"/>
    <w:rsid w:val="00C35F8B"/>
    <w:rsid w:val="00C70E55"/>
    <w:rsid w:val="00C71006"/>
    <w:rsid w:val="00C97C54"/>
    <w:rsid w:val="00CB5727"/>
    <w:rsid w:val="00CD5241"/>
    <w:rsid w:val="00CE5346"/>
    <w:rsid w:val="00CF3EAC"/>
    <w:rsid w:val="00D02B99"/>
    <w:rsid w:val="00D5240E"/>
    <w:rsid w:val="00D75C75"/>
    <w:rsid w:val="00D86F54"/>
    <w:rsid w:val="00E205BF"/>
    <w:rsid w:val="00E37567"/>
    <w:rsid w:val="00E9372C"/>
    <w:rsid w:val="00ED3099"/>
    <w:rsid w:val="00F058AD"/>
    <w:rsid w:val="00F16789"/>
    <w:rsid w:val="00F31585"/>
    <w:rsid w:val="00F3735D"/>
    <w:rsid w:val="00F573F6"/>
    <w:rsid w:val="00F6423A"/>
    <w:rsid w:val="00F673B3"/>
    <w:rsid w:val="00F76EAB"/>
    <w:rsid w:val="00F956A1"/>
    <w:rsid w:val="00FB4D9A"/>
    <w:rsid w:val="00FC03C8"/>
    <w:rsid w:val="00FC47D9"/>
    <w:rsid w:val="00FF2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Fontepargpadro"/>
    <w:link w:val="Cabealho"/>
    <w:uiPriority w:val="99"/>
    <w:rsid w:val="00203FA5"/>
    <w:rPr>
      <w:rFonts w:ascii="Arial" w:eastAsia="Times New Roman" w:hAnsi="Arial"/>
      <w:szCs w:val="20"/>
      <w:lang w:eastAsia="pt-BR"/>
    </w:rPr>
  </w:style>
  <w:style w:type="paragraph" w:styleId="Rodap">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Fontepargpadro"/>
    <w:link w:val="Rodap"/>
    <w:uiPriority w:val="99"/>
    <w:rsid w:val="00203FA5"/>
    <w:rPr>
      <w:rFonts w:ascii="Arial" w:eastAsia="Times New Roman" w:hAnsi="Arial"/>
      <w:szCs w:val="20"/>
      <w:lang w:eastAsia="pt-BR"/>
    </w:rPr>
  </w:style>
  <w:style w:type="paragraph" w:styleId="Textodebalo">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Fontepargpadro"/>
    <w:link w:val="Textodebalo"/>
    <w:uiPriority w:val="99"/>
    <w:semiHidden/>
    <w:rsid w:val="00203FA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102">
      <w:bodyDiv w:val="1"/>
      <w:marLeft w:val="0"/>
      <w:marRight w:val="0"/>
      <w:marTop w:val="0"/>
      <w:marBottom w:val="0"/>
      <w:divBdr>
        <w:top w:val="none" w:sz="0" w:space="0" w:color="auto"/>
        <w:left w:val="none" w:sz="0" w:space="0" w:color="auto"/>
        <w:bottom w:val="none" w:sz="0" w:space="0" w:color="auto"/>
        <w:right w:val="none" w:sz="0" w:space="0" w:color="auto"/>
      </w:divBdr>
    </w:div>
    <w:div w:id="183908500">
      <w:bodyDiv w:val="1"/>
      <w:marLeft w:val="0"/>
      <w:marRight w:val="0"/>
      <w:marTop w:val="0"/>
      <w:marBottom w:val="0"/>
      <w:divBdr>
        <w:top w:val="none" w:sz="0" w:space="0" w:color="auto"/>
        <w:left w:val="none" w:sz="0" w:space="0" w:color="auto"/>
        <w:bottom w:val="none" w:sz="0" w:space="0" w:color="auto"/>
        <w:right w:val="none" w:sz="0" w:space="0" w:color="auto"/>
      </w:divBdr>
    </w:div>
    <w:div w:id="460879009">
      <w:bodyDiv w:val="1"/>
      <w:marLeft w:val="0"/>
      <w:marRight w:val="0"/>
      <w:marTop w:val="0"/>
      <w:marBottom w:val="0"/>
      <w:divBdr>
        <w:top w:val="none" w:sz="0" w:space="0" w:color="auto"/>
        <w:left w:val="none" w:sz="0" w:space="0" w:color="auto"/>
        <w:bottom w:val="none" w:sz="0" w:space="0" w:color="auto"/>
        <w:right w:val="none" w:sz="0" w:space="0" w:color="auto"/>
      </w:divBdr>
    </w:div>
    <w:div w:id="674958292">
      <w:bodyDiv w:val="1"/>
      <w:marLeft w:val="0"/>
      <w:marRight w:val="0"/>
      <w:marTop w:val="0"/>
      <w:marBottom w:val="0"/>
      <w:divBdr>
        <w:top w:val="none" w:sz="0" w:space="0" w:color="auto"/>
        <w:left w:val="none" w:sz="0" w:space="0" w:color="auto"/>
        <w:bottom w:val="none" w:sz="0" w:space="0" w:color="auto"/>
        <w:right w:val="none" w:sz="0" w:space="0" w:color="auto"/>
      </w:divBdr>
    </w:div>
    <w:div w:id="830101870">
      <w:bodyDiv w:val="1"/>
      <w:marLeft w:val="0"/>
      <w:marRight w:val="0"/>
      <w:marTop w:val="0"/>
      <w:marBottom w:val="0"/>
      <w:divBdr>
        <w:top w:val="none" w:sz="0" w:space="0" w:color="auto"/>
        <w:left w:val="none" w:sz="0" w:space="0" w:color="auto"/>
        <w:bottom w:val="none" w:sz="0" w:space="0" w:color="auto"/>
        <w:right w:val="none" w:sz="0" w:space="0" w:color="auto"/>
      </w:divBdr>
    </w:div>
    <w:div w:id="1053314686">
      <w:bodyDiv w:val="1"/>
      <w:marLeft w:val="0"/>
      <w:marRight w:val="0"/>
      <w:marTop w:val="0"/>
      <w:marBottom w:val="0"/>
      <w:divBdr>
        <w:top w:val="none" w:sz="0" w:space="0" w:color="auto"/>
        <w:left w:val="none" w:sz="0" w:space="0" w:color="auto"/>
        <w:bottom w:val="none" w:sz="0" w:space="0" w:color="auto"/>
        <w:right w:val="none" w:sz="0" w:space="0" w:color="auto"/>
      </w:divBdr>
    </w:div>
    <w:div w:id="1065567664">
      <w:bodyDiv w:val="1"/>
      <w:marLeft w:val="0"/>
      <w:marRight w:val="0"/>
      <w:marTop w:val="0"/>
      <w:marBottom w:val="0"/>
      <w:divBdr>
        <w:top w:val="none" w:sz="0" w:space="0" w:color="auto"/>
        <w:left w:val="none" w:sz="0" w:space="0" w:color="auto"/>
        <w:bottom w:val="none" w:sz="0" w:space="0" w:color="auto"/>
        <w:right w:val="none" w:sz="0" w:space="0" w:color="auto"/>
      </w:divBdr>
    </w:div>
    <w:div w:id="1469975320">
      <w:bodyDiv w:val="1"/>
      <w:marLeft w:val="0"/>
      <w:marRight w:val="0"/>
      <w:marTop w:val="0"/>
      <w:marBottom w:val="0"/>
      <w:divBdr>
        <w:top w:val="none" w:sz="0" w:space="0" w:color="auto"/>
        <w:left w:val="none" w:sz="0" w:space="0" w:color="auto"/>
        <w:bottom w:val="none" w:sz="0" w:space="0" w:color="auto"/>
        <w:right w:val="none" w:sz="0" w:space="0" w:color="auto"/>
      </w:divBdr>
    </w:div>
    <w:div w:id="1595047302">
      <w:bodyDiv w:val="1"/>
      <w:marLeft w:val="0"/>
      <w:marRight w:val="0"/>
      <w:marTop w:val="0"/>
      <w:marBottom w:val="0"/>
      <w:divBdr>
        <w:top w:val="none" w:sz="0" w:space="0" w:color="auto"/>
        <w:left w:val="none" w:sz="0" w:space="0" w:color="auto"/>
        <w:bottom w:val="none" w:sz="0" w:space="0" w:color="auto"/>
        <w:right w:val="none" w:sz="0" w:space="0" w:color="auto"/>
      </w:divBdr>
    </w:div>
    <w:div w:id="1685402655">
      <w:bodyDiv w:val="1"/>
      <w:marLeft w:val="0"/>
      <w:marRight w:val="0"/>
      <w:marTop w:val="0"/>
      <w:marBottom w:val="0"/>
      <w:divBdr>
        <w:top w:val="none" w:sz="0" w:space="0" w:color="auto"/>
        <w:left w:val="none" w:sz="0" w:space="0" w:color="auto"/>
        <w:bottom w:val="none" w:sz="0" w:space="0" w:color="auto"/>
        <w:right w:val="none" w:sz="0" w:space="0" w:color="auto"/>
      </w:divBdr>
    </w:div>
    <w:div w:id="1773550553">
      <w:bodyDiv w:val="1"/>
      <w:marLeft w:val="0"/>
      <w:marRight w:val="0"/>
      <w:marTop w:val="0"/>
      <w:marBottom w:val="0"/>
      <w:divBdr>
        <w:top w:val="none" w:sz="0" w:space="0" w:color="auto"/>
        <w:left w:val="none" w:sz="0" w:space="0" w:color="auto"/>
        <w:bottom w:val="none" w:sz="0" w:space="0" w:color="auto"/>
        <w:right w:val="none" w:sz="0" w:space="0" w:color="auto"/>
      </w:divBdr>
    </w:div>
    <w:div w:id="1999072616">
      <w:bodyDiv w:val="1"/>
      <w:marLeft w:val="0"/>
      <w:marRight w:val="0"/>
      <w:marTop w:val="0"/>
      <w:marBottom w:val="0"/>
      <w:divBdr>
        <w:top w:val="none" w:sz="0" w:space="0" w:color="auto"/>
        <w:left w:val="none" w:sz="0" w:space="0" w:color="auto"/>
        <w:bottom w:val="none" w:sz="0" w:space="0" w:color="auto"/>
        <w:right w:val="none" w:sz="0" w:space="0" w:color="auto"/>
      </w:divBdr>
    </w:div>
    <w:div w:id="2007515299">
      <w:bodyDiv w:val="1"/>
      <w:marLeft w:val="0"/>
      <w:marRight w:val="0"/>
      <w:marTop w:val="0"/>
      <w:marBottom w:val="0"/>
      <w:divBdr>
        <w:top w:val="none" w:sz="0" w:space="0" w:color="auto"/>
        <w:left w:val="none" w:sz="0" w:space="0" w:color="auto"/>
        <w:bottom w:val="none" w:sz="0" w:space="0" w:color="auto"/>
        <w:right w:val="none" w:sz="0" w:space="0" w:color="auto"/>
      </w:divBdr>
    </w:div>
    <w:div w:id="2038848968">
      <w:bodyDiv w:val="1"/>
      <w:marLeft w:val="0"/>
      <w:marRight w:val="0"/>
      <w:marTop w:val="0"/>
      <w:marBottom w:val="0"/>
      <w:divBdr>
        <w:top w:val="none" w:sz="0" w:space="0" w:color="auto"/>
        <w:left w:val="none" w:sz="0" w:space="0" w:color="auto"/>
        <w:bottom w:val="none" w:sz="0" w:space="0" w:color="auto"/>
        <w:right w:val="none" w:sz="0" w:space="0" w:color="auto"/>
      </w:divBdr>
    </w:div>
    <w:div w:id="21020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Juliana Elisa Lima</cp:lastModifiedBy>
  <cp:revision>4</cp:revision>
  <dcterms:created xsi:type="dcterms:W3CDTF">2022-08-03T16:50:00Z</dcterms:created>
  <dcterms:modified xsi:type="dcterms:W3CDTF">2022-08-03T17:05:00Z</dcterms:modified>
</cp:coreProperties>
</file>