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DA5745" w:rsidP="00230290">
      <w:pPr>
        <w:pStyle w:val="Default"/>
        <w:jc w:val="both"/>
        <w:rPr>
          <w:rFonts w:ascii="Calibri" w:eastAsia="Times New Roman" w:hAnsi="Calibri" w:cs="Calibri"/>
          <w:bCs/>
          <w:color w:val="auto"/>
        </w:rPr>
      </w:pPr>
      <w:r w:rsidRPr="003A7521">
        <w:rPr>
          <w:rFonts w:ascii="Calibri" w:hAnsi="Calibri" w:cs="Calibri"/>
          <w:b/>
          <w:color w:val="auto"/>
        </w:rPr>
        <w:t>Parecer Jurídico nº</w:t>
      </w:r>
      <w:r w:rsidR="00DA5745">
        <w:rPr>
          <w:rFonts w:ascii="Calibri" w:hAnsi="Calibri" w:cs="Calibri"/>
          <w:b/>
          <w:color w:val="auto"/>
        </w:rPr>
        <w:t xml:space="preserve"> </w:t>
      </w:r>
      <w:r w:rsidR="005F7030">
        <w:rPr>
          <w:rFonts w:ascii="Calibri" w:hAnsi="Calibri" w:cs="Calibri"/>
          <w:b/>
          <w:color w:val="auto"/>
        </w:rPr>
        <w:t>260</w:t>
      </w:r>
      <w:r w:rsidRPr="003A7521">
        <w:rPr>
          <w:rFonts w:ascii="Calibri" w:hAnsi="Calibri" w:cs="Calibri"/>
          <w:b/>
          <w:color w:val="auto"/>
        </w:rPr>
        <w:t>/202</w:t>
      </w:r>
      <w:r w:rsidR="00DA5745">
        <w:rPr>
          <w:rFonts w:ascii="Calibri" w:hAnsi="Calibri" w:cs="Calibri"/>
          <w:b/>
          <w:color w:val="auto"/>
        </w:rPr>
        <w:t>2</w:t>
      </w:r>
      <w:r>
        <w:rPr>
          <w:rFonts w:ascii="Calibri" w:hAnsi="Calibri" w:cs="Calibri"/>
          <w:b/>
          <w:color w:val="auto"/>
        </w:rPr>
        <w:t>.</w:t>
      </w:r>
    </w:p>
    <w:p w:rsidR="00B6516B" w:rsidP="00B6516B">
      <w:pPr>
        <w:spacing w:after="0" w:line="240" w:lineRule="auto"/>
        <w:jc w:val="both"/>
        <w:rPr>
          <w:rFonts w:ascii="Calibri" w:hAnsi="Calibri" w:cs="Calibri"/>
          <w:bCs/>
          <w:szCs w:val="24"/>
        </w:rPr>
      </w:pPr>
      <w:r w:rsidRPr="00DA5745">
        <w:rPr>
          <w:rFonts w:ascii="Calibri" w:hAnsi="Calibri" w:cs="Calibri"/>
          <w:b/>
          <w:bCs/>
          <w:szCs w:val="24"/>
        </w:rPr>
        <w:t xml:space="preserve">Assunto: </w:t>
      </w:r>
      <w:r w:rsidR="00DF5B72">
        <w:rPr>
          <w:rFonts w:ascii="Calibri" w:hAnsi="Calibri" w:cs="Calibri"/>
          <w:b/>
          <w:bCs/>
          <w:szCs w:val="24"/>
        </w:rPr>
        <w:t>Projeto de Lei nº 1</w:t>
      </w:r>
      <w:r w:rsidR="005F7030">
        <w:rPr>
          <w:rFonts w:ascii="Calibri" w:hAnsi="Calibri" w:cs="Calibri"/>
          <w:b/>
          <w:bCs/>
          <w:szCs w:val="24"/>
        </w:rPr>
        <w:t>4</w:t>
      </w:r>
      <w:r w:rsidR="00DF5B72">
        <w:rPr>
          <w:rFonts w:ascii="Calibri" w:hAnsi="Calibri" w:cs="Calibri"/>
          <w:b/>
          <w:bCs/>
          <w:szCs w:val="24"/>
        </w:rPr>
        <w:t>3</w:t>
      </w:r>
      <w:r w:rsidRPr="00DA5745">
        <w:rPr>
          <w:rFonts w:ascii="Calibri" w:hAnsi="Calibri" w:cs="Calibri"/>
          <w:b/>
          <w:bCs/>
          <w:szCs w:val="24"/>
        </w:rPr>
        <w:t>/202</w:t>
      </w:r>
      <w:r w:rsidRPr="00DA5745" w:rsidR="00DA5745">
        <w:rPr>
          <w:rFonts w:ascii="Calibri" w:hAnsi="Calibri" w:cs="Calibri"/>
          <w:b/>
          <w:bCs/>
          <w:szCs w:val="24"/>
        </w:rPr>
        <w:t>2</w:t>
      </w:r>
      <w:r w:rsidR="00DA5745">
        <w:rPr>
          <w:rFonts w:ascii="Calibri" w:hAnsi="Calibri" w:cs="Calibri"/>
          <w:b/>
          <w:bCs/>
          <w:szCs w:val="24"/>
        </w:rPr>
        <w:t xml:space="preserve"> </w:t>
      </w:r>
      <w:r w:rsidR="00DF5B72">
        <w:rPr>
          <w:rFonts w:ascii="Calibri" w:hAnsi="Calibri" w:cs="Calibri"/>
          <w:b/>
          <w:bCs/>
          <w:szCs w:val="24"/>
        </w:rPr>
        <w:t>–</w:t>
      </w:r>
      <w:r w:rsidR="00672474">
        <w:rPr>
          <w:rFonts w:ascii="Calibri" w:hAnsi="Calibri" w:cs="Calibri"/>
          <w:b/>
          <w:bCs/>
          <w:szCs w:val="24"/>
        </w:rPr>
        <w:t xml:space="preserve"> </w:t>
      </w:r>
      <w:r w:rsidRPr="00672474" w:rsidR="00672474">
        <w:rPr>
          <w:rFonts w:asciiTheme="minorHAnsi" w:hAnsiTheme="minorHAnsi" w:cstheme="minorHAnsi"/>
        </w:rPr>
        <w:t>Institui a Caminhada da Família no terceiro domingo do mês de maio no âmbito do município de Val</w:t>
      </w:r>
      <w:r w:rsidR="00672474">
        <w:rPr>
          <w:rFonts w:asciiTheme="minorHAnsi" w:hAnsiTheme="minorHAnsi" w:cstheme="minorHAnsi"/>
        </w:rPr>
        <w:t>inhos e dá outras providências.</w:t>
      </w:r>
    </w:p>
    <w:p w:rsidR="00672474" w:rsidP="005F7030">
      <w:pPr>
        <w:spacing w:after="0" w:line="240" w:lineRule="auto"/>
        <w:jc w:val="both"/>
        <w:rPr>
          <w:rFonts w:ascii="Calibri" w:hAnsi="Calibri" w:cs="Calibri"/>
          <w:b/>
          <w:bCs/>
          <w:szCs w:val="24"/>
        </w:rPr>
      </w:pPr>
      <w:r w:rsidRPr="00DA5745">
        <w:rPr>
          <w:rFonts w:ascii="Calibri" w:hAnsi="Calibri" w:cs="Calibri"/>
          <w:b/>
          <w:bCs/>
          <w:szCs w:val="24"/>
        </w:rPr>
        <w:t>Autoria do</w:t>
      </w:r>
      <w:r>
        <w:rPr>
          <w:rFonts w:ascii="Calibri" w:hAnsi="Calibri" w:cs="Calibri"/>
          <w:b/>
          <w:bCs/>
          <w:szCs w:val="24"/>
        </w:rPr>
        <w:t xml:space="preserve">s Vereadores </w:t>
      </w:r>
      <w:r w:rsidRPr="00672474">
        <w:rPr>
          <w:rFonts w:ascii="Calibri" w:hAnsi="Calibri" w:cs="Calibri"/>
          <w:b/>
          <w:bCs/>
          <w:szCs w:val="24"/>
        </w:rPr>
        <w:t xml:space="preserve">André Amaral, Alexandre "Japa", Fábio Damasceno, Simone Bellini, Thiago </w:t>
      </w:r>
      <w:r w:rsidRPr="00672474">
        <w:rPr>
          <w:rFonts w:ascii="Calibri" w:hAnsi="Calibri" w:cs="Calibri"/>
          <w:b/>
          <w:bCs/>
          <w:szCs w:val="24"/>
        </w:rPr>
        <w:t>Samasso</w:t>
      </w:r>
      <w:r>
        <w:rPr>
          <w:rFonts w:ascii="Calibri" w:hAnsi="Calibri" w:cs="Calibri"/>
          <w:b/>
          <w:bCs/>
          <w:szCs w:val="24"/>
        </w:rPr>
        <w:t>.</w:t>
      </w:r>
    </w:p>
    <w:p w:rsidR="005F7030" w:rsidRPr="00DA5745" w:rsidP="005F7030">
      <w:pPr>
        <w:spacing w:after="0" w:line="240" w:lineRule="auto"/>
        <w:jc w:val="both"/>
        <w:rPr>
          <w:rFonts w:ascii="Calibri" w:hAnsi="Calibri" w:cs="Calibri"/>
          <w:b/>
          <w:i/>
        </w:rPr>
      </w:pPr>
    </w:p>
    <w:p w:rsidR="00DA5745" w:rsidP="00230290">
      <w:pPr>
        <w:pStyle w:val="Default"/>
        <w:jc w:val="both"/>
        <w:rPr>
          <w:rFonts w:ascii="Calibri" w:hAnsi="Calibri" w:cs="Calibri"/>
          <w:b/>
          <w:i/>
          <w:color w:val="auto"/>
        </w:rPr>
      </w:pPr>
    </w:p>
    <w:p w:rsidR="00230290" w:rsidRPr="003A7521" w:rsidP="00230290">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230290" w:rsidP="00230290">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230290" w:rsidP="00230290">
      <w:pPr>
        <w:pStyle w:val="Default"/>
        <w:jc w:val="both"/>
        <w:rPr>
          <w:rFonts w:ascii="Calibri" w:hAnsi="Calibri" w:cs="Calibri"/>
          <w:b/>
          <w:i/>
          <w:color w:val="auto"/>
        </w:rPr>
      </w:pPr>
    </w:p>
    <w:p w:rsidR="00230290" w:rsidP="00230290">
      <w:pPr>
        <w:pStyle w:val="Default"/>
        <w:jc w:val="both"/>
        <w:rPr>
          <w:rFonts w:ascii="Calibri" w:hAnsi="Calibri" w:cs="Calibri"/>
          <w:b/>
          <w:i/>
          <w:color w:val="auto"/>
        </w:rPr>
      </w:pPr>
    </w:p>
    <w:p w:rsidR="00DA5745" w:rsidRPr="00813294" w:rsidP="00230290">
      <w:pPr>
        <w:pStyle w:val="Default"/>
        <w:jc w:val="both"/>
        <w:rPr>
          <w:rFonts w:ascii="Calibri" w:hAnsi="Calibri" w:cs="Calibri"/>
          <w:b/>
          <w:i/>
          <w:color w:val="auto"/>
        </w:rPr>
      </w:pPr>
    </w:p>
    <w:p w:rsidR="00672474" w:rsidRPr="00672474" w:rsidP="00672474">
      <w:pPr>
        <w:spacing w:after="240" w:line="360" w:lineRule="auto"/>
        <w:ind w:firstLine="1701"/>
        <w:jc w:val="both"/>
        <w:rPr>
          <w:rFonts w:ascii="Calibri" w:hAnsi="Calibri" w:cs="Calibri"/>
          <w:b/>
          <w:bCs/>
          <w:i/>
          <w:szCs w:val="24"/>
        </w:rPr>
      </w:pPr>
      <w:r w:rsidRPr="003A7521">
        <w:rPr>
          <w:rFonts w:ascii="Calibri" w:hAnsi="Calibri" w:cs="Calibri"/>
          <w:szCs w:val="24"/>
        </w:rPr>
        <w:t>Trata-se de parecer jurídico rela</w:t>
      </w:r>
      <w:r>
        <w:rPr>
          <w:rFonts w:ascii="Calibri" w:hAnsi="Calibri" w:cs="Calibri"/>
          <w:szCs w:val="24"/>
        </w:rPr>
        <w:t xml:space="preserve">tivo ao projeto em epígrafe que </w:t>
      </w:r>
      <w:r w:rsidRPr="00672474">
        <w:rPr>
          <w:rFonts w:asciiTheme="minorHAnsi" w:hAnsiTheme="minorHAnsi" w:cstheme="minorHAnsi"/>
          <w:i/>
        </w:rPr>
        <w:t>“Institui a Caminhada da Família no terceiro domingo do mês de maio no âmbito do município de Valinhos e dá outras providências”.</w:t>
      </w:r>
    </w:p>
    <w:p w:rsidR="00230290" w:rsidRPr="003A7521" w:rsidP="003774B8">
      <w:pPr>
        <w:spacing w:after="240" w:line="360" w:lineRule="auto"/>
        <w:ind w:firstLine="1701"/>
        <w:jc w:val="both"/>
        <w:rPr>
          <w:rFonts w:ascii="Calibri" w:hAnsi="Calibri" w:cs="Calibri"/>
          <w:szCs w:val="24"/>
        </w:rPr>
      </w:pPr>
      <w:r w:rsidRPr="003A7521">
        <w:rPr>
          <w:rFonts w:ascii="Calibri" w:hAnsi="Calibri" w:cs="Calibri"/>
          <w:i/>
          <w:szCs w:val="24"/>
        </w:rPr>
        <w:t>Ab initio</w:t>
      </w:r>
      <w:r w:rsidRPr="003A7521">
        <w:rPr>
          <w:rFonts w:ascii="Calibri" w:hAnsi="Calibri" w:cs="Calibri"/>
          <w:szCs w:val="24"/>
        </w:rPr>
        <w:t>, cumpre destacar a competência regimental da Comissão de Justiça e Redação, estabelecida no artigo 38.</w:t>
      </w:r>
    </w:p>
    <w:p w:rsidR="00230290" w:rsidRPr="003A7521" w:rsidP="0072713C">
      <w:pPr>
        <w:tabs>
          <w:tab w:val="left" w:pos="1701"/>
        </w:tabs>
        <w:spacing w:after="120" w:line="360" w:lineRule="auto"/>
        <w:jc w:val="both"/>
        <w:rPr>
          <w:rFonts w:ascii="Calibri" w:hAnsi="Calibri" w:cs="Calibri"/>
        </w:rPr>
      </w:pPr>
      <w:r w:rsidRPr="003A7521">
        <w:rPr>
          <w:rFonts w:ascii="Calibri" w:hAnsi="Calibri" w:cs="Calibri"/>
          <w:szCs w:val="24"/>
        </w:rPr>
        <w:t xml:space="preserve"> </w:t>
      </w:r>
      <w:r w:rsidRPr="003A7521">
        <w:rPr>
          <w:rFonts w:ascii="Calibri" w:hAnsi="Calibri" w:cs="Calibri"/>
          <w:szCs w:val="24"/>
        </w:rPr>
        <w:tab/>
      </w:r>
      <w:r w:rsidRPr="003A7521">
        <w:rPr>
          <w:rFonts w:ascii="Calibri" w:hAnsi="Calibri" w:cs="Calibri"/>
          <w:szCs w:val="24"/>
        </w:rPr>
        <w:t>Outrossim</w:t>
      </w:r>
      <w:r w:rsidRPr="003A7521">
        <w:rPr>
          <w:rFonts w:ascii="Calibri" w:hAnsi="Calibri" w:cs="Calibri"/>
          <w:szCs w:val="24"/>
        </w:rPr>
        <w:t xml:space="preserve">, ressalta-se que a opinião jurídica </w:t>
      </w:r>
      <w:r>
        <w:rPr>
          <w:rFonts w:ascii="Calibri" w:hAnsi="Calibri" w:cs="Calibri"/>
          <w:szCs w:val="24"/>
        </w:rPr>
        <w:t>exarada nesse</w:t>
      </w:r>
      <w:r w:rsidRPr="003A7521">
        <w:rPr>
          <w:rFonts w:ascii="Calibri" w:hAnsi="Calibri" w:cs="Calibri"/>
          <w:szCs w:val="24"/>
        </w:rPr>
        <w:t xml:space="preserve"> parecer</w:t>
      </w:r>
      <w:r>
        <w:rPr>
          <w:rFonts w:ascii="Calibri" w:hAnsi="Calibri" w:cs="Calibri"/>
          <w:szCs w:val="24"/>
        </w:rPr>
        <w:t xml:space="preserve"> não tem força vinculante, portanto é</w:t>
      </w:r>
      <w:r w:rsidRPr="003A7521">
        <w:rPr>
          <w:rFonts w:ascii="Calibri" w:hAnsi="Calibri" w:cs="Calibri"/>
          <w:szCs w:val="24"/>
        </w:rPr>
        <w:t xml:space="preserve"> </w:t>
      </w:r>
      <w:r>
        <w:rPr>
          <w:rFonts w:ascii="Calibri" w:hAnsi="Calibri" w:cs="Calibri"/>
          <w:szCs w:val="24"/>
        </w:rPr>
        <w:t>peça opinativa,</w:t>
      </w:r>
      <w:r w:rsidRPr="003A7521">
        <w:rPr>
          <w:rFonts w:ascii="Calibri" w:hAnsi="Calibri" w:cs="Calibri"/>
          <w:szCs w:val="24"/>
        </w:rPr>
        <w:t xml:space="preserve"> não fundamentando decisão proferida pelas Comissões.</w:t>
      </w:r>
      <w:r w:rsidR="005F7030">
        <w:rPr>
          <w:rFonts w:ascii="Calibri" w:hAnsi="Calibri" w:cs="Calibri"/>
          <w:szCs w:val="24"/>
        </w:rPr>
        <w:t xml:space="preserve"> </w:t>
      </w:r>
      <w:r w:rsidRPr="003A7521">
        <w:rPr>
          <w:rFonts w:ascii="Calibri" w:hAnsi="Calibri" w:cs="Calibri"/>
        </w:rPr>
        <w:t xml:space="preserve">Nesse sentido é o entendimento do </w:t>
      </w:r>
      <w:r>
        <w:rPr>
          <w:rFonts w:ascii="Calibri" w:hAnsi="Calibri" w:cs="Calibri"/>
        </w:rPr>
        <w:t xml:space="preserve">C. </w:t>
      </w:r>
      <w:r w:rsidRPr="003A7521">
        <w:rPr>
          <w:rFonts w:ascii="Calibri" w:hAnsi="Calibri" w:cs="Calibri"/>
        </w:rPr>
        <w:t xml:space="preserve">Supremo Tribunal Federal: </w:t>
      </w:r>
    </w:p>
    <w:p w:rsidR="00230290" w:rsidP="00230290">
      <w:pPr>
        <w:pStyle w:val="Default"/>
        <w:ind w:left="2268"/>
        <w:jc w:val="both"/>
        <w:rPr>
          <w:rFonts w:ascii="Calibri" w:hAnsi="Calibri" w:cs="Calibri"/>
          <w:i/>
          <w:color w:val="auto"/>
          <w:sz w:val="22"/>
          <w:szCs w:val="22"/>
        </w:rPr>
      </w:pPr>
      <w:r w:rsidRPr="003A7521">
        <w:rPr>
          <w:rFonts w:ascii="Calibri" w:hAnsi="Calibri" w:cs="Calibr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A7521">
        <w:rPr>
          <w:rFonts w:ascii="Calibri" w:hAnsi="Calibri" w:cs="Calibri"/>
          <w:i/>
          <w:color w:val="auto"/>
          <w:sz w:val="22"/>
          <w:szCs w:val="22"/>
        </w:rPr>
        <w:t>ex</w:t>
      </w:r>
      <w:r>
        <w:rPr>
          <w:rFonts w:ascii="Calibri" w:hAnsi="Calibri" w:cs="Calibri"/>
          <w:i/>
          <w:color w:val="auto"/>
          <w:sz w:val="22"/>
          <w:szCs w:val="22"/>
        </w:rPr>
        <w:t xml:space="preserve"> </w:t>
      </w:r>
      <w:r w:rsidRPr="003A7521">
        <w:rPr>
          <w:rFonts w:ascii="Calibri" w:hAnsi="Calibri" w:cs="Calibri"/>
          <w:i/>
          <w:color w:val="auto"/>
          <w:sz w:val="22"/>
          <w:szCs w:val="22"/>
        </w:rPr>
        <w:t>oficio</w:t>
      </w:r>
      <w:r w:rsidRPr="003A7521">
        <w:rPr>
          <w:rFonts w:ascii="Calibri" w:hAnsi="Calibri" w:cs="Calibr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30290" w:rsidRPr="0042268E" w:rsidP="00230290">
      <w:pPr>
        <w:pStyle w:val="Default"/>
        <w:ind w:left="2268"/>
        <w:jc w:val="both"/>
        <w:rPr>
          <w:rFonts w:ascii="Calibri" w:hAnsi="Calibri" w:cs="Calibri"/>
          <w:i/>
          <w:color w:val="auto"/>
          <w:sz w:val="22"/>
          <w:szCs w:val="22"/>
        </w:rPr>
      </w:pPr>
    </w:p>
    <w:p w:rsidR="00230290" w:rsidP="00230290">
      <w:pPr>
        <w:tabs>
          <w:tab w:val="left" w:pos="1701"/>
        </w:tabs>
        <w:spacing w:after="240" w:line="360" w:lineRule="auto"/>
        <w:ind w:firstLine="1701"/>
        <w:jc w:val="both"/>
        <w:rPr>
          <w:rFonts w:ascii="Calibri" w:hAnsi="Calibri" w:cs="Calibri"/>
          <w:szCs w:val="24"/>
        </w:rPr>
      </w:pPr>
      <w:r>
        <w:rPr>
          <w:rFonts w:ascii="Calibri" w:hAnsi="Calibri" w:cs="Calibri"/>
          <w:szCs w:val="24"/>
        </w:rPr>
        <w:t>Desse modo, passamos à</w:t>
      </w:r>
      <w:r w:rsidRPr="003A7521">
        <w:rPr>
          <w:rFonts w:ascii="Calibri" w:hAnsi="Calibri" w:cs="Calibri"/>
          <w:szCs w:val="24"/>
        </w:rPr>
        <w:t xml:space="preserve"> análise técnica d</w:t>
      </w:r>
      <w:r>
        <w:rPr>
          <w:rFonts w:ascii="Calibri" w:hAnsi="Calibri" w:cs="Calibri"/>
          <w:szCs w:val="24"/>
        </w:rPr>
        <w:t>o projeto em epígrafe referenciado.</w:t>
      </w:r>
    </w:p>
    <w:p w:rsidR="005B347A" w:rsidRPr="00083EDA" w:rsidP="005B347A">
      <w:pPr>
        <w:pStyle w:val="Default"/>
        <w:spacing w:after="240" w:line="360" w:lineRule="auto"/>
        <w:ind w:firstLine="1701"/>
        <w:jc w:val="both"/>
        <w:rPr>
          <w:rFonts w:asciiTheme="minorHAnsi" w:hAnsiTheme="minorHAnsi" w:cstheme="minorHAnsi"/>
          <w:color w:val="auto"/>
        </w:rPr>
      </w:pPr>
      <w:r w:rsidRPr="00083EDA">
        <w:rPr>
          <w:rFonts w:asciiTheme="minorHAnsi" w:hAnsiTheme="minorHAnsi" w:cstheme="minorHAnsi"/>
          <w:color w:val="auto"/>
        </w:rPr>
        <w:t xml:space="preserve">A proposta em exame no que tange à </w:t>
      </w:r>
      <w:r w:rsidRPr="00672474" w:rsidR="00672474">
        <w:rPr>
          <w:rFonts w:asciiTheme="minorHAnsi" w:hAnsiTheme="minorHAnsi" w:cstheme="minorHAnsi"/>
          <w:b/>
          <w:color w:val="auto"/>
        </w:rPr>
        <w:t>competência municipal</w:t>
      </w:r>
      <w:r w:rsidR="00672474">
        <w:rPr>
          <w:rFonts w:asciiTheme="minorHAnsi" w:hAnsiTheme="minorHAnsi" w:cstheme="minorHAnsi"/>
          <w:color w:val="auto"/>
        </w:rPr>
        <w:t xml:space="preserve"> </w:t>
      </w:r>
      <w:r w:rsidRPr="00083EDA">
        <w:rPr>
          <w:rFonts w:asciiTheme="minorHAnsi" w:hAnsiTheme="minorHAnsi" w:cstheme="minorHAnsi"/>
          <w:color w:val="auto"/>
        </w:rPr>
        <w:t>afigura-se revestida de constitucionalidade, pois por força da Constituição os Municípios foram dotados de autonomia legislativa, que vem consubstanciada na capacidade de legislar so</w:t>
      </w:r>
      <w:r w:rsidR="0072713C">
        <w:rPr>
          <w:rFonts w:asciiTheme="minorHAnsi" w:hAnsiTheme="minorHAnsi" w:cstheme="minorHAnsi"/>
          <w:color w:val="auto"/>
        </w:rPr>
        <w:t>bre assuntos de interesse local</w:t>
      </w:r>
      <w:r w:rsidRPr="00083EDA">
        <w:rPr>
          <w:rFonts w:asciiTheme="minorHAnsi" w:hAnsiTheme="minorHAnsi" w:cstheme="minorHAnsi"/>
          <w:color w:val="auto"/>
        </w:rPr>
        <w:t xml:space="preserve"> (art. 30, </w:t>
      </w:r>
      <w:r w:rsidR="0072713C">
        <w:rPr>
          <w:rFonts w:asciiTheme="minorHAnsi" w:hAnsiTheme="minorHAnsi" w:cstheme="minorHAnsi"/>
          <w:color w:val="auto"/>
        </w:rPr>
        <w:t xml:space="preserve">inciso </w:t>
      </w:r>
      <w:r w:rsidRPr="00083EDA">
        <w:rPr>
          <w:rFonts w:asciiTheme="minorHAnsi" w:hAnsiTheme="minorHAnsi" w:cstheme="minorHAnsi"/>
          <w:color w:val="auto"/>
        </w:rPr>
        <w:t xml:space="preserve">I, da CRFB). </w:t>
      </w:r>
    </w:p>
    <w:p w:rsidR="005B347A" w:rsidRPr="00083EDA" w:rsidP="005B347A">
      <w:pPr>
        <w:spacing w:after="240" w:line="360" w:lineRule="auto"/>
        <w:ind w:firstLine="1701"/>
        <w:jc w:val="both"/>
        <w:rPr>
          <w:rFonts w:asciiTheme="minorHAnsi" w:hAnsiTheme="minorHAnsi" w:cstheme="minorHAnsi"/>
          <w:szCs w:val="24"/>
        </w:rPr>
      </w:pPr>
      <w:r w:rsidRPr="00083EDA">
        <w:rPr>
          <w:rFonts w:asciiTheme="minorHAnsi" w:hAnsiTheme="minorHAnsi" w:cstheme="minorHAnsi"/>
          <w:szCs w:val="24"/>
        </w:rPr>
        <w:t>Nessa linha, a Lei Orgânica do Município de Valinhos estabelece:</w:t>
      </w:r>
    </w:p>
    <w:p w:rsidR="005B347A" w:rsidRPr="00B73ABA" w:rsidP="005B347A">
      <w:pPr>
        <w:spacing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B73ABA">
        <w:rPr>
          <w:rFonts w:asciiTheme="minorHAnsi" w:hAnsiTheme="minorHAnsi" w:cstheme="minorHAnsi"/>
          <w:i/>
          <w:sz w:val="22"/>
          <w:szCs w:val="22"/>
        </w:rPr>
        <w:t xml:space="preserve">Art. 5º Compete ao Município, no exercício de sua autonomia, legislar sobre tudo quanto respeite ao </w:t>
      </w:r>
      <w:r w:rsidRPr="00B73ABA">
        <w:rPr>
          <w:rFonts w:asciiTheme="minorHAnsi" w:hAnsiTheme="minorHAnsi" w:cstheme="minorHAnsi"/>
          <w:i/>
          <w:sz w:val="22"/>
          <w:szCs w:val="22"/>
          <w:u w:val="single"/>
        </w:rPr>
        <w:t>interesse local, tendo como objetivo o pleno desenvolvimento de suas funções sociais e garantir o bem-estar de seus habitantes,</w:t>
      </w:r>
      <w:r w:rsidRPr="00B73ABA">
        <w:rPr>
          <w:rFonts w:asciiTheme="minorHAnsi" w:hAnsiTheme="minorHAnsi" w:cstheme="minorHAnsi"/>
          <w:i/>
          <w:sz w:val="22"/>
          <w:szCs w:val="22"/>
        </w:rPr>
        <w:t xml:space="preserve"> cabendo-lhe privativamente, entre outras, as seguintes atribuições:</w:t>
      </w:r>
      <w:r>
        <w:rPr>
          <w:rFonts w:asciiTheme="minorHAnsi" w:hAnsiTheme="minorHAnsi" w:cstheme="minorHAnsi"/>
          <w:i/>
          <w:sz w:val="22"/>
          <w:szCs w:val="22"/>
        </w:rPr>
        <w:t>”</w:t>
      </w:r>
    </w:p>
    <w:p w:rsidR="00B73ABA" w:rsidRPr="00B73ABA" w:rsidP="005B347A">
      <w:pPr>
        <w:spacing w:after="240" w:line="300" w:lineRule="auto"/>
        <w:ind w:left="2268"/>
        <w:jc w:val="both"/>
        <w:rPr>
          <w:rFonts w:asciiTheme="minorHAnsi" w:hAnsiTheme="minorHAnsi" w:cstheme="minorHAnsi"/>
          <w:i/>
          <w:sz w:val="4"/>
          <w:szCs w:val="4"/>
        </w:rPr>
      </w:pPr>
    </w:p>
    <w:p w:rsidR="005B347A" w:rsidRPr="00B73ABA" w:rsidP="005B347A">
      <w:pPr>
        <w:spacing w:after="240" w:line="300" w:lineRule="auto"/>
        <w:ind w:left="2268"/>
        <w:jc w:val="both"/>
        <w:rPr>
          <w:rFonts w:asciiTheme="minorHAnsi" w:hAnsiTheme="minorHAnsi" w:cstheme="minorHAnsi"/>
          <w:i/>
          <w:sz w:val="22"/>
          <w:szCs w:val="22"/>
        </w:rPr>
      </w:pPr>
      <w:r>
        <w:rPr>
          <w:rFonts w:asciiTheme="minorHAnsi" w:hAnsiTheme="minorHAnsi" w:cstheme="minorHAnsi"/>
          <w:i/>
          <w:sz w:val="22"/>
          <w:szCs w:val="22"/>
        </w:rPr>
        <w:t>“</w:t>
      </w:r>
      <w:r w:rsidRPr="00B73ABA">
        <w:rPr>
          <w:rFonts w:asciiTheme="minorHAnsi" w:hAnsiTheme="minorHAnsi" w:cstheme="minorHAnsi"/>
          <w:i/>
          <w:sz w:val="22"/>
          <w:szCs w:val="22"/>
        </w:rPr>
        <w:t>Art.</w:t>
      </w:r>
      <w:r w:rsidRPr="00B73ABA">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B73ABA" w:rsidP="005B347A">
      <w:pPr>
        <w:spacing w:after="240" w:line="300" w:lineRule="auto"/>
        <w:ind w:left="2268"/>
        <w:jc w:val="both"/>
        <w:rPr>
          <w:rFonts w:asciiTheme="minorHAnsi" w:hAnsiTheme="minorHAnsi" w:cstheme="minorHAnsi"/>
          <w:i/>
          <w:sz w:val="22"/>
          <w:szCs w:val="22"/>
        </w:rPr>
      </w:pPr>
      <w:r w:rsidRPr="00B73ABA">
        <w:rPr>
          <w:rFonts w:asciiTheme="minorHAnsi" w:hAnsiTheme="minorHAnsi" w:cstheme="minorHAnsi"/>
          <w:i/>
          <w:sz w:val="22"/>
          <w:szCs w:val="22"/>
        </w:rPr>
        <w:t>I - legislar sobre assuntos de interesse local;</w:t>
      </w:r>
      <w:r w:rsidR="00B73ABA">
        <w:rPr>
          <w:rFonts w:asciiTheme="minorHAnsi" w:hAnsiTheme="minorHAnsi" w:cstheme="minorHAnsi"/>
          <w:i/>
          <w:sz w:val="22"/>
          <w:szCs w:val="22"/>
        </w:rPr>
        <w:t>”</w:t>
      </w:r>
    </w:p>
    <w:p w:rsidR="005B347A" w:rsidRPr="00083EDA" w:rsidP="005B347A">
      <w:pPr>
        <w:autoSpaceDE w:val="0"/>
        <w:autoSpaceDN w:val="0"/>
        <w:adjustRightInd w:val="0"/>
        <w:spacing w:line="360" w:lineRule="auto"/>
        <w:jc w:val="both"/>
        <w:rPr>
          <w:rFonts w:asciiTheme="minorHAnsi" w:hAnsiTheme="minorHAnsi" w:cstheme="minorHAnsi"/>
          <w:szCs w:val="24"/>
        </w:rPr>
      </w:pPr>
      <w:r w:rsidRPr="00083EDA">
        <w:rPr>
          <w:rFonts w:asciiTheme="minorHAnsi" w:hAnsiTheme="minorHAnsi" w:cstheme="minorHAnsi"/>
          <w:szCs w:val="24"/>
        </w:rPr>
        <w:tab/>
      </w:r>
      <w:r w:rsidRPr="00083EDA">
        <w:rPr>
          <w:rFonts w:asciiTheme="minorHAnsi" w:hAnsiTheme="minorHAnsi" w:cstheme="minorHAnsi"/>
          <w:szCs w:val="24"/>
        </w:rPr>
        <w:tab/>
        <w:t xml:space="preserve">      Acerca do conceito de interesse local o saudoso professor Hely Lopes Meirelles leciona:</w:t>
      </w:r>
    </w:p>
    <w:p w:rsidR="005B347A" w:rsidRPr="00B73ABA" w:rsidP="005B347A">
      <w:pPr>
        <w:autoSpaceDE w:val="0"/>
        <w:autoSpaceDN w:val="0"/>
        <w:adjustRightInd w:val="0"/>
        <w:ind w:left="2268"/>
        <w:jc w:val="both"/>
        <w:rPr>
          <w:rFonts w:eastAsia="Calibri" w:asciiTheme="minorHAnsi" w:hAnsiTheme="minorHAnsi" w:cstheme="minorHAnsi"/>
          <w:i/>
          <w:color w:val="000000"/>
          <w:sz w:val="22"/>
          <w:szCs w:val="22"/>
        </w:rPr>
      </w:pPr>
      <w:r w:rsidRPr="00B73ABA">
        <w:rPr>
          <w:rFonts w:eastAsia="Calibri" w:asciiTheme="minorHAnsi" w:hAnsiTheme="minorHAnsi" w:cstheme="minorHAnsi"/>
          <w:i/>
          <w:color w:val="000000"/>
          <w:sz w:val="22"/>
          <w:szCs w:val="22"/>
        </w:rPr>
        <w:t xml:space="preserve">"Interesse local não é interesse exclusivo do Município; não é interesse privativo da localidade; não é interesse único dos municípios. Se se exigisse essa exclusividade, </w:t>
      </w:r>
      <w:r w:rsidRPr="00B73ABA">
        <w:rPr>
          <w:rFonts w:eastAsia="Calibri" w:asciiTheme="minorHAnsi" w:hAnsiTheme="minorHAnsi" w:cstheme="minorHAnsi"/>
          <w:i/>
          <w:color w:val="000000"/>
          <w:sz w:val="22"/>
          <w:szCs w:val="22"/>
        </w:rPr>
        <w:t xml:space="preserve">essa </w:t>
      </w:r>
      <w:r w:rsidRPr="00B73ABA">
        <w:rPr>
          <w:rFonts w:eastAsia="Calibri" w:asciiTheme="minorHAnsi" w:hAnsiTheme="minorHAnsi" w:cstheme="minorHAnsi"/>
          <w:i/>
          <w:color w:val="000000"/>
          <w:sz w:val="22"/>
          <w:szCs w:val="22"/>
        </w:rPr>
        <w:t>privatividade</w:t>
      </w:r>
      <w:r w:rsidRPr="00B73ABA">
        <w:rPr>
          <w:rFonts w:eastAsia="Calibri" w:asciiTheme="minorHAnsi" w:hAnsiTheme="minorHAnsi" w:cstheme="minorHAnsi"/>
          <w:i/>
          <w:color w:val="000000"/>
          <w:sz w:val="22"/>
          <w:szCs w:val="22"/>
        </w:rPr>
        <w:t>, essa unicidade, bem reduzido</w:t>
      </w:r>
      <w:r w:rsidRPr="00B73ABA">
        <w:rPr>
          <w:rFonts w:eastAsia="Calibri" w:asciiTheme="minorHAnsi" w:hAnsiTheme="minorHAnsi" w:cstheme="minorHAnsi"/>
          <w:i/>
          <w:color w:val="000000"/>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B73ABA">
        <w:rPr>
          <w:rFonts w:eastAsia="Calibri" w:asciiTheme="minorHAnsi" w:hAnsiTheme="minorHAnsi" w:cstheme="minorHAnsi"/>
          <w:b/>
          <w:i/>
          <w:color w:val="000000"/>
          <w:sz w:val="22"/>
          <w:szCs w:val="22"/>
        </w:rPr>
        <w:t xml:space="preserve">O que define e caracteriza o 'interesse local', inscrito como dogma constitucional, é a </w:t>
      </w:r>
      <w:r w:rsidRPr="00B73ABA">
        <w:rPr>
          <w:rFonts w:eastAsia="Calibri" w:asciiTheme="minorHAnsi" w:hAnsiTheme="minorHAnsi" w:cstheme="minorHAnsi"/>
          <w:b/>
          <w:i/>
          <w:color w:val="000000"/>
          <w:sz w:val="22"/>
          <w:szCs w:val="22"/>
        </w:rPr>
        <w:t xml:space="preserve">predominância do interesse do Município sobre o do Estado ou da </w:t>
      </w:r>
      <w:r w:rsidRPr="00B73ABA">
        <w:rPr>
          <w:rFonts w:eastAsia="Calibri" w:asciiTheme="minorHAnsi" w:hAnsiTheme="minorHAnsi" w:cstheme="minorHAnsi"/>
          <w:i/>
          <w:color w:val="000000"/>
          <w:sz w:val="22"/>
          <w:szCs w:val="22"/>
        </w:rPr>
        <w:t>União". (</w:t>
      </w:r>
      <w:r w:rsidRPr="00B73ABA">
        <w:rPr>
          <w:rFonts w:eastAsia="Calibri" w:asciiTheme="minorHAnsi" w:hAnsiTheme="minorHAnsi" w:cstheme="minorHAnsi"/>
          <w:i/>
          <w:color w:val="000000"/>
          <w:sz w:val="22"/>
          <w:szCs w:val="22"/>
        </w:rPr>
        <w:t>gn</w:t>
      </w:r>
      <w:r w:rsidRPr="00B73ABA">
        <w:rPr>
          <w:rFonts w:eastAsia="Calibri" w:asciiTheme="minorHAnsi" w:hAnsiTheme="minorHAnsi" w:cstheme="minorHAnsi"/>
          <w:i/>
          <w:color w:val="000000"/>
          <w:sz w:val="22"/>
          <w:szCs w:val="22"/>
        </w:rPr>
        <w:t>)</w:t>
      </w:r>
    </w:p>
    <w:p w:rsidR="005B347A" w:rsidRPr="00B73ABA" w:rsidP="005B347A">
      <w:pPr>
        <w:autoSpaceDE w:val="0"/>
        <w:autoSpaceDN w:val="0"/>
        <w:adjustRightInd w:val="0"/>
        <w:ind w:left="2268"/>
        <w:jc w:val="both"/>
        <w:rPr>
          <w:rFonts w:eastAsia="Calibri" w:asciiTheme="minorHAnsi" w:hAnsiTheme="minorHAnsi" w:cstheme="minorHAnsi"/>
          <w:i/>
          <w:color w:val="000000"/>
          <w:sz w:val="22"/>
          <w:szCs w:val="22"/>
        </w:rPr>
      </w:pPr>
      <w:r w:rsidRPr="00B73ABA">
        <w:rPr>
          <w:rFonts w:eastAsia="Calibri" w:asciiTheme="minorHAnsi" w:hAnsiTheme="minorHAnsi" w:cstheme="minorHAnsi"/>
          <w:i/>
          <w:color w:val="000000"/>
          <w:sz w:val="22"/>
          <w:szCs w:val="22"/>
        </w:rPr>
        <w:t xml:space="preserve">(in Direito Municipal Brasileiro, 6ª ed., atualizada por Izabel Camargo Lopes Monteiro e Yara Darcy Police Monteiro, 1993, Malheiros, p. </w:t>
      </w:r>
      <w:r w:rsidRPr="00B73ABA">
        <w:rPr>
          <w:rFonts w:eastAsia="Calibri" w:asciiTheme="minorHAnsi" w:hAnsiTheme="minorHAnsi" w:cstheme="minorHAnsi"/>
          <w:i/>
          <w:color w:val="000000"/>
          <w:sz w:val="22"/>
          <w:szCs w:val="22"/>
        </w:rPr>
        <w:t>98)</w:t>
      </w:r>
    </w:p>
    <w:p w:rsidR="005B347A" w:rsidRPr="00564577" w:rsidP="005B347A">
      <w:pPr>
        <w:autoSpaceDE w:val="0"/>
        <w:autoSpaceDN w:val="0"/>
        <w:adjustRightInd w:val="0"/>
        <w:ind w:left="2268"/>
        <w:jc w:val="both"/>
        <w:rPr>
          <w:rFonts w:eastAsia="Calibri" w:asciiTheme="minorHAnsi" w:hAnsiTheme="minorHAnsi" w:cstheme="minorHAnsi"/>
          <w:i/>
          <w:color w:val="000000"/>
          <w:sz w:val="12"/>
          <w:szCs w:val="12"/>
        </w:rPr>
      </w:pPr>
    </w:p>
    <w:p w:rsidR="00230290" w:rsidRPr="003A7521" w:rsidP="00DF5B72">
      <w:pPr>
        <w:tabs>
          <w:tab w:val="left" w:pos="1701"/>
        </w:tabs>
        <w:autoSpaceDE w:val="0"/>
        <w:autoSpaceDN w:val="0"/>
        <w:adjustRightInd w:val="0"/>
        <w:spacing w:line="360" w:lineRule="auto"/>
        <w:jc w:val="both"/>
        <w:rPr>
          <w:rFonts w:ascii="Calibri" w:hAnsi="Calibri" w:cs="Calibri"/>
          <w:szCs w:val="24"/>
        </w:rPr>
      </w:pPr>
      <w:r w:rsidRPr="00083EDA">
        <w:rPr>
          <w:rFonts w:asciiTheme="minorHAnsi" w:hAnsiTheme="minorHAnsi" w:cstheme="minorHAnsi"/>
          <w:color w:val="FF0000"/>
          <w:szCs w:val="24"/>
        </w:rPr>
        <w:t xml:space="preserve"> </w:t>
      </w:r>
      <w:r w:rsidRPr="00083EDA">
        <w:rPr>
          <w:rFonts w:asciiTheme="minorHAnsi" w:hAnsiTheme="minorHAnsi" w:cstheme="minorHAnsi"/>
          <w:color w:val="FF0000"/>
          <w:szCs w:val="24"/>
        </w:rPr>
        <w:tab/>
      </w:r>
      <w:r w:rsidRPr="003A7521">
        <w:rPr>
          <w:rFonts w:ascii="Calibri" w:hAnsi="Calibri" w:cs="Calibri"/>
          <w:szCs w:val="24"/>
        </w:rPr>
        <w:t>Outrossim</w:t>
      </w:r>
      <w:r w:rsidRPr="003A7521">
        <w:rPr>
          <w:rFonts w:ascii="Calibri" w:hAnsi="Calibri" w:cs="Calibri"/>
          <w:szCs w:val="24"/>
        </w:rPr>
        <w:t xml:space="preserve">, no que tange à </w:t>
      </w:r>
      <w:r w:rsidRPr="007628F6">
        <w:rPr>
          <w:rFonts w:ascii="Calibri" w:hAnsi="Calibri" w:cs="Calibri"/>
          <w:b/>
          <w:szCs w:val="24"/>
        </w:rPr>
        <w:t>competência para deflagrar o processo legislativo</w:t>
      </w:r>
      <w:r>
        <w:rPr>
          <w:rFonts w:ascii="Calibri" w:hAnsi="Calibri" w:cs="Calibri"/>
          <w:szCs w:val="24"/>
        </w:rPr>
        <w:t>,</w:t>
      </w:r>
      <w:r w:rsidRPr="003A7521">
        <w:rPr>
          <w:rFonts w:ascii="Calibri" w:hAnsi="Calibri" w:cs="Calibri"/>
          <w:szCs w:val="24"/>
        </w:rPr>
        <w:t xml:space="preserve"> </w:t>
      </w:r>
      <w:r>
        <w:rPr>
          <w:rFonts w:ascii="Calibri" w:hAnsi="Calibri" w:cs="Calibri"/>
          <w:szCs w:val="24"/>
        </w:rPr>
        <w:t>o</w:t>
      </w:r>
      <w:r w:rsidRPr="003A7521">
        <w:rPr>
          <w:rFonts w:ascii="Calibri" w:hAnsi="Calibri" w:cs="Calibri"/>
          <w:szCs w:val="24"/>
        </w:rPr>
        <w:t xml:space="preserve"> artigo 61, § 1º, </w:t>
      </w:r>
      <w:r>
        <w:rPr>
          <w:rFonts w:ascii="Calibri" w:hAnsi="Calibri" w:cs="Calibri"/>
          <w:szCs w:val="24"/>
        </w:rPr>
        <w:t xml:space="preserve">da CF </w:t>
      </w:r>
      <w:r w:rsidRPr="003A7521">
        <w:rPr>
          <w:rFonts w:ascii="Calibri" w:hAnsi="Calibri" w:cs="Calibri"/>
          <w:szCs w:val="24"/>
        </w:rPr>
        <w:t>estabelece as hi</w:t>
      </w:r>
      <w:r>
        <w:rPr>
          <w:rFonts w:ascii="Calibri" w:hAnsi="Calibri" w:cs="Calibri"/>
          <w:szCs w:val="24"/>
        </w:rPr>
        <w:t>póteses de iniciativa privativa</w:t>
      </w:r>
      <w:r w:rsidRPr="003A7521">
        <w:rPr>
          <w:rFonts w:ascii="Calibri" w:hAnsi="Calibri" w:cs="Calibri"/>
          <w:szCs w:val="24"/>
        </w:rPr>
        <w:t>:</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rsidR="00230290" w:rsidRPr="00315DC3" w:rsidP="00B73ABA">
      <w:pPr>
        <w:pStyle w:val="NormalWeb"/>
        <w:spacing w:before="0" w:beforeAutospacing="0" w:after="0" w:afterAutospacing="0" w:line="276" w:lineRule="auto"/>
        <w:ind w:left="2268"/>
        <w:jc w:val="both"/>
        <w:rPr>
          <w:rFonts w:ascii="Calibri" w:hAnsi="Calibri" w:cs="Calibri"/>
          <w:i/>
          <w:sz w:val="22"/>
          <w:szCs w:val="22"/>
        </w:rPr>
      </w:pPr>
      <w:r w:rsidRPr="00315DC3">
        <w:rPr>
          <w:rFonts w:ascii="Calibri" w:hAnsi="Calibri" w:cs="Calibri"/>
          <w:i/>
          <w:sz w:val="22"/>
          <w:szCs w:val="22"/>
        </w:rPr>
        <w:t>§ 1º São de iniciativa privativa do Presidente da República as leis que:</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I - fixem ou modifiquem os efetivos das Forças Armadas;</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II - disponham sobre:</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a) criação de cargos, funções ou empregos públicos na administração direta e autárquica ou aumento de sua remuneração;</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b) organização administrativa e judiciária, matéria tributária e orçamentária, serviços </w:t>
      </w:r>
      <w:r w:rsidRPr="003A7521">
        <w:rPr>
          <w:rFonts w:ascii="Calibri" w:hAnsi="Calibri" w:cs="Calibri"/>
          <w:i/>
          <w:sz w:val="22"/>
          <w:szCs w:val="22"/>
        </w:rPr>
        <w:t>públicos e pessoal da administração dos Territórios</w:t>
      </w:r>
      <w:r w:rsidRPr="003A7521">
        <w:rPr>
          <w:rFonts w:ascii="Calibri" w:hAnsi="Calibri" w:cs="Calibri"/>
          <w:i/>
          <w:sz w:val="22"/>
          <w:szCs w:val="22"/>
        </w:rPr>
        <w:t>;</w:t>
      </w:r>
    </w:p>
    <w:p w:rsidR="00230290" w:rsidRPr="003A7521" w:rsidP="00B73ABA">
      <w:pPr>
        <w:pStyle w:val="NormalWeb"/>
        <w:spacing w:before="0" w:beforeAutospacing="0" w:after="0" w:afterAutospacing="0" w:line="276" w:lineRule="auto"/>
        <w:ind w:left="2268"/>
        <w:jc w:val="both"/>
        <w:rPr>
          <w:rStyle w:val="apple-converted-space"/>
          <w:rFonts w:ascii="Calibri" w:hAnsi="Calibri" w:cs="Calibri"/>
          <w:i/>
          <w:sz w:val="22"/>
          <w:szCs w:val="22"/>
        </w:rPr>
      </w:pPr>
      <w:r w:rsidRPr="003A7521">
        <w:rPr>
          <w:rFonts w:ascii="Calibri" w:hAnsi="Calibri" w:cs="Calibri"/>
          <w:i/>
          <w:sz w:val="22"/>
          <w:szCs w:val="22"/>
        </w:rPr>
        <w:t>c) servidores públicos da União e Territórios, seu regime jurídico, provimento de cargos, estabilidade e aposentadoria;</w:t>
      </w:r>
      <w:r w:rsidRPr="003A7521">
        <w:rPr>
          <w:rStyle w:val="apple-converted-space"/>
          <w:rFonts w:ascii="Calibri" w:hAnsi="Calibri" w:cs="Calibri"/>
          <w:i/>
          <w:sz w:val="22"/>
          <w:szCs w:val="22"/>
        </w:rPr>
        <w:t> </w:t>
      </w:r>
    </w:p>
    <w:p w:rsidR="00230290" w:rsidRPr="003A7521"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 d) organização do Ministério Público e da Defensoria Pública da União, bem como normas gerais para a organização do Ministério Público e da Defensoria Pública dos Estados, do Distrito Federal e dos Territórios;</w:t>
      </w:r>
    </w:p>
    <w:p w:rsidR="00230290" w:rsidRPr="003A7521" w:rsidP="00B73ABA">
      <w:pPr>
        <w:pStyle w:val="NormalWeb"/>
        <w:spacing w:before="0" w:beforeAutospacing="0" w:after="0" w:afterAutospacing="0" w:line="276" w:lineRule="auto"/>
        <w:ind w:left="2268"/>
        <w:jc w:val="both"/>
        <w:rPr>
          <w:rStyle w:val="apple-converted-space"/>
          <w:rFonts w:ascii="Calibri" w:hAnsi="Calibri" w:cs="Calibri"/>
          <w:i/>
          <w:iCs/>
          <w:sz w:val="22"/>
          <w:szCs w:val="22"/>
        </w:rPr>
      </w:pPr>
      <w:r w:rsidRPr="003A7521">
        <w:rPr>
          <w:rFonts w:ascii="Calibri" w:hAnsi="Calibri" w:cs="Calibri"/>
          <w:i/>
          <w:sz w:val="22"/>
          <w:szCs w:val="22"/>
        </w:rPr>
        <w:t>e) criação e extinção de Ministérios e órgãos da administração pública, observado</w:t>
      </w:r>
      <w:r w:rsidRPr="003A7521">
        <w:rPr>
          <w:rStyle w:val="apple-converted-space"/>
          <w:rFonts w:ascii="Calibri" w:hAnsi="Calibri" w:cs="Calibri"/>
          <w:i/>
          <w:iCs/>
          <w:sz w:val="22"/>
          <w:szCs w:val="22"/>
        </w:rPr>
        <w:t> </w:t>
      </w:r>
      <w:r w:rsidRPr="003A7521">
        <w:rPr>
          <w:rFonts w:ascii="Calibri" w:hAnsi="Calibri" w:cs="Calibri"/>
          <w:i/>
          <w:sz w:val="22"/>
          <w:szCs w:val="22"/>
        </w:rPr>
        <w:t xml:space="preserve">o disposto no art. 84, </w:t>
      </w:r>
      <w:r w:rsidRPr="003A7521">
        <w:rPr>
          <w:rFonts w:ascii="Calibri" w:hAnsi="Calibri" w:cs="Calibri"/>
          <w:i/>
          <w:sz w:val="22"/>
          <w:szCs w:val="22"/>
        </w:rPr>
        <w:t>VI</w:t>
      </w:r>
      <w:r w:rsidRPr="003A7521">
        <w:rPr>
          <w:rFonts w:ascii="Calibri" w:hAnsi="Calibri" w:cs="Calibri"/>
          <w:i/>
          <w:iCs/>
          <w:sz w:val="22"/>
          <w:szCs w:val="22"/>
        </w:rPr>
        <w:t>; </w:t>
      </w:r>
      <w:r w:rsidRPr="003A7521">
        <w:rPr>
          <w:rStyle w:val="apple-converted-space"/>
          <w:rFonts w:ascii="Calibri" w:hAnsi="Calibri" w:cs="Calibri"/>
          <w:i/>
          <w:iCs/>
          <w:sz w:val="22"/>
          <w:szCs w:val="22"/>
        </w:rPr>
        <w:t> </w:t>
      </w:r>
    </w:p>
    <w:p w:rsidR="00230290" w:rsidP="00B73ABA">
      <w:pPr>
        <w:pStyle w:val="NormalWeb"/>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 f) militares das Forças Armadas, seu regime jurídico, provimento de cargos, promoções, estabilidade, remuneração, reforma e transferência para a reserva.</w:t>
      </w:r>
      <w:r w:rsidRPr="003A7521">
        <w:rPr>
          <w:rStyle w:val="apple-converted-space"/>
          <w:rFonts w:ascii="Calibri" w:hAnsi="Calibri" w:cs="Calibri"/>
          <w:i/>
          <w:sz w:val="22"/>
          <w:szCs w:val="22"/>
        </w:rPr>
        <w:t> </w:t>
      </w:r>
      <w:r w:rsidRPr="003A7521">
        <w:rPr>
          <w:rFonts w:ascii="Calibri" w:hAnsi="Calibri" w:cs="Calibri"/>
          <w:i/>
          <w:sz w:val="22"/>
          <w:szCs w:val="22"/>
        </w:rPr>
        <w:t xml:space="preserve"> </w:t>
      </w:r>
    </w:p>
    <w:p w:rsidR="00230290" w:rsidRPr="003A7521" w:rsidP="00230290">
      <w:pPr>
        <w:pStyle w:val="NormalWeb"/>
        <w:spacing w:before="120" w:beforeAutospacing="0" w:after="0" w:afterAutospacing="0" w:line="276" w:lineRule="auto"/>
        <w:ind w:left="2268"/>
        <w:jc w:val="both"/>
        <w:rPr>
          <w:rFonts w:ascii="Calibri" w:hAnsi="Calibri" w:cs="Calibri"/>
          <w:i/>
          <w:sz w:val="22"/>
          <w:szCs w:val="22"/>
        </w:rPr>
      </w:pPr>
    </w:p>
    <w:p w:rsidR="00230290" w:rsidRPr="003A7521" w:rsidP="00230290">
      <w:pPr>
        <w:spacing w:after="240" w:line="360" w:lineRule="auto"/>
        <w:ind w:firstLine="1701"/>
        <w:jc w:val="both"/>
        <w:rPr>
          <w:rFonts w:ascii="Calibri" w:hAnsi="Calibri" w:cs="Calibri"/>
          <w:szCs w:val="24"/>
        </w:rPr>
      </w:pPr>
      <w:r>
        <w:rPr>
          <w:rFonts w:ascii="Calibri" w:hAnsi="Calibri" w:cs="Calibri"/>
          <w:szCs w:val="24"/>
        </w:rPr>
        <w:t xml:space="preserve">Por seu turno e em atenção ao princípio da simetria, </w:t>
      </w:r>
      <w:r w:rsidRPr="003A7521">
        <w:rPr>
          <w:rFonts w:ascii="Calibri" w:hAnsi="Calibri" w:cs="Calibri"/>
          <w:szCs w:val="24"/>
        </w:rPr>
        <w:t>a Constituição do Estado de São</w:t>
      </w:r>
      <w:r>
        <w:rPr>
          <w:rFonts w:ascii="Calibri" w:hAnsi="Calibri" w:cs="Calibri"/>
          <w:szCs w:val="24"/>
        </w:rPr>
        <w:t xml:space="preserve"> Paulo no artigo 24, § 2º </w:t>
      </w:r>
      <w:r w:rsidRPr="003A7521">
        <w:rPr>
          <w:rFonts w:ascii="Calibri" w:hAnsi="Calibri" w:cs="Calibri"/>
          <w:szCs w:val="24"/>
        </w:rPr>
        <w:t>dispõe:</w:t>
      </w:r>
    </w:p>
    <w:p w:rsidR="00230290" w:rsidRPr="003A7521" w:rsidP="00B73ABA">
      <w:pPr>
        <w:ind w:left="2268"/>
        <w:jc w:val="both"/>
        <w:rPr>
          <w:rFonts w:ascii="Calibri" w:hAnsi="Calibri" w:cs="Calibri"/>
          <w:i/>
          <w:sz w:val="22"/>
          <w:szCs w:val="22"/>
        </w:rPr>
      </w:pPr>
      <w:r w:rsidRPr="003A7521">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3A7521" w:rsidP="00B73ABA">
      <w:pPr>
        <w:ind w:left="2268"/>
        <w:jc w:val="both"/>
        <w:rPr>
          <w:rFonts w:ascii="Calibri" w:hAnsi="Calibri" w:cs="Calibri"/>
          <w:i/>
          <w:sz w:val="22"/>
          <w:szCs w:val="22"/>
        </w:rPr>
      </w:pPr>
      <w:r w:rsidRPr="003A7521">
        <w:rPr>
          <w:rFonts w:ascii="Calibri" w:hAnsi="Calibri" w:cs="Calibri"/>
          <w:i/>
          <w:sz w:val="22"/>
          <w:szCs w:val="22"/>
        </w:rPr>
        <w:t>[...]</w:t>
      </w:r>
    </w:p>
    <w:p w:rsidR="00230290" w:rsidRPr="003A7521" w:rsidP="00B73ABA">
      <w:pPr>
        <w:pStyle w:val="paragrafo"/>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2º - Compete, exclusivamente, ao Governador do Estado a iniciativa das leis que disponham sobre:</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0" w:name="CESP_ART_024_2_1"/>
      <w:bookmarkEnd w:id="0"/>
      <w:r w:rsidRPr="003A7521">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1" w:name="CESP_ART_024_2_2"/>
      <w:bookmarkEnd w:id="1"/>
      <w:r w:rsidRPr="003A7521">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2" w:name="CESP_ART_024_2_3"/>
      <w:bookmarkEnd w:id="2"/>
      <w:r w:rsidRPr="003A7521">
        <w:rPr>
          <w:rFonts w:ascii="Calibri" w:hAnsi="Calibri" w:cs="Calibri"/>
          <w:i/>
          <w:sz w:val="22"/>
          <w:szCs w:val="22"/>
        </w:rPr>
        <w:t>3 - organização da Procuradoria Geral do Estado e da Defensoria Pública do Estado, observadas as normas gerais da União;</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bookmarkStart w:id="3" w:name="CESP_ART_024_2_4"/>
      <w:bookmarkEnd w:id="3"/>
      <w:r w:rsidRPr="003A7521">
        <w:rPr>
          <w:rFonts w:ascii="Calibri" w:hAnsi="Calibri" w:cs="Calibri"/>
          <w:i/>
          <w:sz w:val="22"/>
          <w:szCs w:val="22"/>
        </w:rPr>
        <w:t xml:space="preserve">4 - servidores públicos do Estado, seu regime jurídico, provimento de cargos, estabilidade e aposentadoria; </w:t>
      </w:r>
    </w:p>
    <w:p w:rsidR="00230290" w:rsidRPr="003A7521" w:rsidP="00B73ABA">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P="00B73ABA">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6 - criação, alteração ou supressão de cartórios notariais e de registros públicos.</w:t>
      </w:r>
    </w:p>
    <w:p w:rsidR="00230290" w:rsidRPr="0072713C" w:rsidP="00230290">
      <w:pPr>
        <w:pStyle w:val="item"/>
        <w:spacing w:before="0" w:beforeAutospacing="0" w:after="120" w:afterAutospacing="0" w:line="300" w:lineRule="auto"/>
        <w:ind w:left="2268"/>
        <w:jc w:val="both"/>
        <w:rPr>
          <w:rFonts w:ascii="Calibri" w:hAnsi="Calibri" w:cs="Calibri"/>
          <w:i/>
          <w:sz w:val="4"/>
          <w:szCs w:val="4"/>
        </w:rPr>
      </w:pPr>
    </w:p>
    <w:p w:rsidR="00230290" w:rsidRPr="003A7521" w:rsidP="00230290">
      <w:pPr>
        <w:spacing w:after="240" w:line="360" w:lineRule="auto"/>
        <w:ind w:firstLine="1701"/>
        <w:jc w:val="both"/>
        <w:rPr>
          <w:rFonts w:ascii="Calibri" w:hAnsi="Calibri" w:cs="Calibri"/>
          <w:szCs w:val="24"/>
        </w:rPr>
      </w:pPr>
      <w:r w:rsidRPr="003A7521">
        <w:rPr>
          <w:rFonts w:ascii="Calibri" w:hAnsi="Calibri" w:cs="Calibri"/>
          <w:szCs w:val="24"/>
        </w:rPr>
        <w:t>Do mesmo modo, a Lei Orgânica do Munic</w:t>
      </w:r>
      <w:r>
        <w:rPr>
          <w:rFonts w:ascii="Calibri" w:hAnsi="Calibri" w:cs="Calibri"/>
          <w:szCs w:val="24"/>
        </w:rPr>
        <w:t>ípio de Valinhos no artigo 48 estabelece as matérias de deflagração</w:t>
      </w:r>
      <w:r w:rsidRPr="003A7521">
        <w:rPr>
          <w:rFonts w:ascii="Calibri" w:hAnsi="Calibri" w:cs="Calibri"/>
          <w:szCs w:val="24"/>
        </w:rPr>
        <w:t xml:space="preserve"> exclusiva </w:t>
      </w:r>
      <w:r>
        <w:rPr>
          <w:rFonts w:ascii="Calibri" w:hAnsi="Calibri" w:cs="Calibri"/>
          <w:szCs w:val="24"/>
        </w:rPr>
        <w:t>pelo</w:t>
      </w:r>
      <w:r w:rsidRPr="003A7521">
        <w:rPr>
          <w:rFonts w:ascii="Calibri" w:hAnsi="Calibri" w:cs="Calibri"/>
          <w:szCs w:val="24"/>
        </w:rPr>
        <w:t xml:space="preserve"> Prefeito Municipal:</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 xml:space="preserve">Art. 48. Compete, exclusivamente, ao Prefeito a iniciativa dos projetos de lei que disponham sobre: </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 xml:space="preserve"> II - criação, estruturação e atribuições das Secretarias Municipais e órgãos da administração pública; </w:t>
      </w:r>
    </w:p>
    <w:p w:rsidR="00230290" w:rsidRPr="003A7521" w:rsidP="00B73ABA">
      <w:pPr>
        <w:spacing w:after="40"/>
        <w:ind w:left="2268"/>
        <w:jc w:val="both"/>
        <w:rPr>
          <w:rFonts w:ascii="Calibri" w:hAnsi="Calibri" w:cs="Calibri"/>
          <w:i/>
          <w:sz w:val="22"/>
          <w:szCs w:val="22"/>
        </w:rPr>
      </w:pPr>
      <w:r w:rsidRPr="003A7521">
        <w:rPr>
          <w:rFonts w:ascii="Calibri" w:hAnsi="Calibri" w:cs="Calibri"/>
          <w:i/>
          <w:sz w:val="22"/>
          <w:szCs w:val="22"/>
        </w:rPr>
        <w:t xml:space="preserve">III - servidores públicos do Município, seu regime jurídico, provimento de cargos, estabilidade e aposentadoria; </w:t>
      </w:r>
    </w:p>
    <w:p w:rsidR="00230290" w:rsidP="00B73ABA">
      <w:pPr>
        <w:spacing w:after="40"/>
        <w:ind w:left="2268"/>
        <w:jc w:val="both"/>
        <w:rPr>
          <w:rFonts w:ascii="Calibri" w:hAnsi="Calibri" w:cs="Calibri"/>
          <w:i/>
          <w:sz w:val="22"/>
          <w:szCs w:val="22"/>
        </w:rPr>
      </w:pPr>
      <w:r w:rsidRPr="003A7521">
        <w:rPr>
          <w:rFonts w:ascii="Calibri" w:hAnsi="Calibri" w:cs="Calibri"/>
          <w:i/>
          <w:sz w:val="22"/>
          <w:szCs w:val="22"/>
        </w:rPr>
        <w:t>IV - abertura de créditos adicionais.</w:t>
      </w:r>
    </w:p>
    <w:p w:rsidR="003774B8" w:rsidP="00230290">
      <w:pPr>
        <w:spacing w:after="240" w:line="360" w:lineRule="auto"/>
        <w:ind w:firstLine="1701"/>
        <w:jc w:val="both"/>
        <w:rPr>
          <w:rFonts w:ascii="Calibri" w:hAnsi="Calibri" w:cs="Calibri"/>
          <w:szCs w:val="24"/>
        </w:rPr>
      </w:pPr>
      <w:r w:rsidRPr="003A7521">
        <w:rPr>
          <w:rFonts w:ascii="Calibri" w:hAnsi="Calibri" w:cs="Calibri"/>
          <w:szCs w:val="24"/>
        </w:rPr>
        <w:t xml:space="preserve">Deste modo, a princípio, no que tange à competência, a Constituição vigente não contém nenhuma disposição que impeça </w:t>
      </w:r>
      <w:r>
        <w:rPr>
          <w:rFonts w:ascii="Calibri" w:hAnsi="Calibri" w:cs="Calibri"/>
          <w:szCs w:val="24"/>
        </w:rPr>
        <w:t>o Poder Legislativo Valinhense</w:t>
      </w:r>
      <w:r w:rsidRPr="003A7521">
        <w:rPr>
          <w:rFonts w:ascii="Calibri" w:hAnsi="Calibri" w:cs="Calibri"/>
          <w:szCs w:val="24"/>
        </w:rPr>
        <w:t xml:space="preserve"> </w:t>
      </w:r>
      <w:r>
        <w:rPr>
          <w:rFonts w:ascii="Calibri" w:hAnsi="Calibri" w:cs="Calibri"/>
          <w:szCs w:val="24"/>
        </w:rPr>
        <w:t xml:space="preserve">de instituir </w:t>
      </w:r>
      <w:r>
        <w:rPr>
          <w:rFonts w:ascii="Calibri" w:hAnsi="Calibri" w:cs="Calibri"/>
          <w:szCs w:val="24"/>
        </w:rPr>
        <w:t xml:space="preserve">a </w:t>
      </w:r>
      <w:r w:rsidR="005F7030">
        <w:rPr>
          <w:rFonts w:ascii="Calibri" w:hAnsi="Calibri" w:cs="Calibri"/>
          <w:szCs w:val="24"/>
        </w:rPr>
        <w:t>c</w:t>
      </w:r>
      <w:r>
        <w:rPr>
          <w:rFonts w:ascii="Calibri" w:hAnsi="Calibri" w:cs="Calibri"/>
          <w:szCs w:val="24"/>
        </w:rPr>
        <w:t>ampanha</w:t>
      </w:r>
      <w:r w:rsidR="005F7030">
        <w:rPr>
          <w:rFonts w:ascii="Calibri" w:hAnsi="Calibri" w:cs="Calibri"/>
          <w:szCs w:val="24"/>
        </w:rPr>
        <w:t xml:space="preserve"> pretendida</w:t>
      </w:r>
      <w:r>
        <w:rPr>
          <w:rFonts w:ascii="Calibri" w:hAnsi="Calibri" w:cs="Calibri"/>
          <w:bCs/>
          <w:i/>
          <w:szCs w:val="24"/>
        </w:rPr>
        <w:t>.</w:t>
      </w:r>
    </w:p>
    <w:p w:rsidR="00230290" w:rsidRPr="003A7521" w:rsidP="00DF5B72">
      <w:pPr>
        <w:spacing w:after="240" w:line="360" w:lineRule="auto"/>
        <w:ind w:firstLine="1701"/>
        <w:jc w:val="both"/>
        <w:rPr>
          <w:rFonts w:asciiTheme="minorHAnsi" w:hAnsiTheme="minorHAnsi" w:cs="Calibri"/>
          <w:b/>
        </w:rPr>
      </w:pPr>
      <w:r w:rsidRPr="003A7521">
        <w:rPr>
          <w:rFonts w:asciiTheme="minorHAnsi" w:hAnsiTheme="minorHAnsi" w:cs="Calibri"/>
        </w:rPr>
        <w:t>Aliás, acerca dos limites da competência legislativa municipal dos membros do Poder Legislativo destacamos</w:t>
      </w:r>
      <w:r w:rsidRPr="003A7521">
        <w:rPr>
          <w:rFonts w:asciiTheme="minorHAnsi" w:hAnsiTheme="minorHAnsi" w:cs="Calibri"/>
          <w:b/>
        </w:rPr>
        <w:t xml:space="preserve"> </w:t>
      </w:r>
      <w:r w:rsidRPr="003A7521">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Legislativo desta esfera fe</w:t>
      </w:r>
      <w:r w:rsidR="00DF5B72">
        <w:rPr>
          <w:rFonts w:asciiTheme="minorHAnsi" w:hAnsiTheme="minorHAnsi" w:cs="Calibri"/>
          <w:u w:val="single"/>
        </w:rPr>
        <w:t>derativa</w:t>
      </w:r>
      <w:r w:rsidRPr="00DF5B72" w:rsidR="00DF5B72">
        <w:rPr>
          <w:rFonts w:asciiTheme="minorHAnsi" w:hAnsiTheme="minorHAnsi" w:cs="Calibri"/>
        </w:rPr>
        <w:t>, t</w:t>
      </w:r>
      <w:r w:rsidRPr="00DF5B72">
        <w:rPr>
          <w:rFonts w:asciiTheme="minorHAnsi" w:hAnsiTheme="minorHAnsi" w:cs="Calibri"/>
        </w:rPr>
        <w:t>rata</w:t>
      </w:r>
      <w:r w:rsidRPr="003A7521">
        <w:rPr>
          <w:rFonts w:asciiTheme="minorHAnsi" w:hAnsiTheme="minorHAnsi" w:cs="Calibri"/>
        </w:rPr>
        <w:t xml:space="preserve">-se do </w:t>
      </w:r>
      <w:r>
        <w:rPr>
          <w:rFonts w:asciiTheme="minorHAnsi" w:hAnsiTheme="minorHAnsi" w:cs="Calibri"/>
          <w:b/>
        </w:rPr>
        <w:t xml:space="preserve">Tema nº </w:t>
      </w:r>
      <w:r w:rsidRPr="003A7521">
        <w:rPr>
          <w:rFonts w:asciiTheme="minorHAnsi" w:hAnsiTheme="minorHAnsi" w:cs="Calibri"/>
          <w:b/>
        </w:rPr>
        <w:t>917 Repercussão geral (Paradigma ARE 878911)</w:t>
      </w:r>
      <w:r w:rsidRPr="003A7521">
        <w:rPr>
          <w:rFonts w:asciiTheme="minorHAnsi" w:hAnsiTheme="minorHAnsi" w:cs="Calibri"/>
        </w:rPr>
        <w:t xml:space="preserve"> que recebeu a seguinte redação:</w:t>
      </w:r>
    </w:p>
    <w:p w:rsidR="00230290" w:rsidRPr="003A7521" w:rsidP="00B73ABA">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230290" w:rsidRPr="003A7521" w:rsidP="00B73ABA">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230290" w:rsidP="00230290">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w:t>
      </w:r>
      <w:r w:rsidRPr="003A7521">
        <w:rPr>
          <w:rFonts w:asciiTheme="minorHAnsi" w:hAnsiTheme="minorHAnsi" w:cstheme="minorHAnsi"/>
          <w:color w:val="auto"/>
        </w:rPr>
        <w:t>da Administração Pública; a atribuição de seus órgãos e o regime jurídico de servidores públicos, ainda que as propostas legislativas impliquem em criação de despesas.</w:t>
      </w:r>
    </w:p>
    <w:p w:rsidR="008A2A1B" w:rsidP="008A2A1B">
      <w:pPr>
        <w:pStyle w:val="Default"/>
        <w:spacing w:after="120" w:line="360" w:lineRule="auto"/>
        <w:ind w:firstLine="1701"/>
        <w:jc w:val="both"/>
        <w:rPr>
          <w:rFonts w:asciiTheme="minorHAnsi" w:hAnsiTheme="minorHAnsi" w:cstheme="minorHAnsi"/>
          <w:color w:val="auto"/>
        </w:rPr>
      </w:pPr>
      <w:r w:rsidRPr="00C03091">
        <w:rPr>
          <w:rFonts w:asciiTheme="minorHAnsi" w:hAnsiTheme="minorHAnsi" w:cstheme="minorHAnsi"/>
          <w:color w:val="auto"/>
        </w:rPr>
        <w:t xml:space="preserve">Destarte, </w:t>
      </w:r>
      <w:r>
        <w:rPr>
          <w:rFonts w:asciiTheme="minorHAnsi" w:hAnsiTheme="minorHAnsi" w:cstheme="minorHAnsi"/>
          <w:color w:val="auto"/>
        </w:rPr>
        <w:t>infere-se que o projeto em análise não viola as regras de iniciativa, porquanto não se trata de matéria de competência privativa do Chefe do Poder Executivo.</w:t>
      </w:r>
    </w:p>
    <w:p w:rsidR="00230290" w:rsidRPr="003A7521" w:rsidP="00230290">
      <w:pPr>
        <w:spacing w:before="240" w:after="240" w:line="360" w:lineRule="auto"/>
        <w:ind w:firstLine="1701"/>
        <w:jc w:val="both"/>
        <w:rPr>
          <w:rFonts w:ascii="Calibri" w:hAnsi="Calibri" w:cs="Calibri"/>
          <w:bCs/>
          <w:szCs w:val="24"/>
        </w:rPr>
      </w:pPr>
      <w:r w:rsidRPr="003A7521">
        <w:rPr>
          <w:rFonts w:ascii="Calibri" w:hAnsi="Calibri" w:cs="Calibri"/>
          <w:bCs/>
          <w:szCs w:val="24"/>
        </w:rPr>
        <w:t xml:space="preserve">Nesse mesmo sentido o entendimento do </w:t>
      </w:r>
      <w:r>
        <w:rPr>
          <w:rFonts w:ascii="Calibri" w:hAnsi="Calibri" w:cs="Calibri"/>
          <w:bCs/>
          <w:szCs w:val="24"/>
        </w:rPr>
        <w:t xml:space="preserve">E. </w:t>
      </w:r>
      <w:r w:rsidRPr="003A7521">
        <w:rPr>
          <w:rFonts w:ascii="Calibri" w:hAnsi="Calibri" w:cs="Calibri"/>
          <w:bCs/>
          <w:szCs w:val="24"/>
        </w:rPr>
        <w:t>Tribunal de Justiça de São Paulo:</w:t>
      </w:r>
    </w:p>
    <w:p w:rsidR="00230290" w:rsidRPr="00564577" w:rsidP="00B73ABA">
      <w:pPr>
        <w:spacing w:after="120"/>
        <w:ind w:left="2268"/>
        <w:jc w:val="both"/>
        <w:rPr>
          <w:rFonts w:ascii="Calibri" w:hAnsi="Calibri" w:cs="Calibri"/>
          <w:i/>
          <w:sz w:val="20"/>
        </w:rPr>
      </w:pPr>
      <w:r w:rsidRPr="00B73ABA">
        <w:rPr>
          <w:rFonts w:ascii="Calibri" w:hAnsi="Calibri" w:cs="Calibri"/>
          <w:i/>
          <w:sz w:val="22"/>
          <w:szCs w:val="22"/>
        </w:rPr>
        <w:t xml:space="preserve">AÇÃO DIRETA DE INCONSTITUCIONALIDADE. </w:t>
      </w:r>
      <w:r w:rsidRPr="00B73ABA">
        <w:rPr>
          <w:rFonts w:ascii="Calibri" w:hAnsi="Calibri" w:cs="Calibri"/>
          <w:b/>
          <w:i/>
          <w:sz w:val="22"/>
          <w:szCs w:val="22"/>
        </w:rPr>
        <w:t xml:space="preserve">Lei municipal de origem parlamentar que institui campanha de orientação e conscientização sobre as consequências do acúmulo de lixo nas ruas do Município de Jundiaí. </w:t>
      </w:r>
      <w:r w:rsidRPr="00564577">
        <w:rPr>
          <w:rFonts w:ascii="Calibri" w:hAnsi="Calibri" w:cs="Calibri"/>
          <w:b/>
          <w:i/>
          <w:sz w:val="22"/>
          <w:szCs w:val="22"/>
          <w:u w:val="single"/>
        </w:rPr>
        <w:t>Inconstitucionalidade. Inocorrência. Inexistência de vício de iniciativa: o rol de iniciativas legislativas reservadas ao Chefe do Poder Executivo é matéria taxativamente disposta na Constituição Estadual</w:t>
      </w:r>
      <w:r w:rsidRPr="00564577">
        <w:rPr>
          <w:rFonts w:ascii="Calibri" w:hAnsi="Calibri" w:cs="Calibri"/>
          <w:i/>
          <w:sz w:val="22"/>
          <w:szCs w:val="22"/>
          <w:u w:val="single"/>
        </w:rPr>
        <w:t>.</w:t>
      </w:r>
      <w:r w:rsidRPr="00B73ABA">
        <w:rPr>
          <w:rFonts w:ascii="Calibri" w:hAnsi="Calibri" w:cs="Calibri"/>
          <w:i/>
          <w:sz w:val="22"/>
          <w:szCs w:val="22"/>
        </w:rPr>
        <w:t xml:space="preserve"> Inexiste ofensa às iniciativas legislativas reservadas ao Chefe do Executivo, ademais, em razão da imposição de gastos à Administração. </w:t>
      </w:r>
      <w:r w:rsidRPr="00B73ABA">
        <w:rPr>
          <w:rFonts w:ascii="Calibri" w:hAnsi="Calibri" w:cs="Calibri"/>
          <w:b/>
          <w:i/>
          <w:sz w:val="22"/>
          <w:szCs w:val="22"/>
        </w:rPr>
        <w:t>Precedentes do STF</w:t>
      </w:r>
      <w:r w:rsidRPr="00B73ABA">
        <w:rPr>
          <w:rFonts w:ascii="Calibri" w:hAnsi="Calibri" w:cs="Calibri"/>
          <w:i/>
          <w:sz w:val="22"/>
          <w:szCs w:val="22"/>
        </w:rPr>
        <w:t xml:space="preserve">. Não ocorrência de ofensa à regra da separação dos poderes. Inexistência de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lei inconstitucional, importando, no máximo, na inexequibilidade da norma no mesmo exercício orçamentário em que fora promulgada. Precedentes do STF. Procedência parcial do pedido. Expressões e dispositivos legais que fazem referência genérica à sanção de multa, sem, contudo, prever de forma exata e clara o 'quantum' cominado para a hipótese de infração administrativa, o que contrasta com o princípio da legalidade estipulado no artigo 111 da Constituição Paulista. Vedado ao Poder Legislativo deixar ao arbítrio do administrador a disciplina de matéria reservada à lei. Procedência parcial do pedido. Liminar cassada. </w:t>
      </w:r>
      <w:r w:rsidR="00564577">
        <w:rPr>
          <w:rFonts w:ascii="Calibri" w:hAnsi="Calibri" w:cs="Calibri"/>
          <w:i/>
          <w:sz w:val="22"/>
          <w:szCs w:val="22"/>
        </w:rPr>
        <w:t>(</w:t>
      </w:r>
      <w:r w:rsidRPr="00564577" w:rsidR="00564577">
        <w:rPr>
          <w:rFonts w:ascii="Calibri" w:hAnsi="Calibri" w:cs="Calibri"/>
          <w:i/>
          <w:sz w:val="20"/>
        </w:rPr>
        <w:t>grifamos</w:t>
      </w:r>
      <w:r w:rsidRPr="00564577" w:rsidR="00564577">
        <w:rPr>
          <w:rFonts w:ascii="Calibri" w:hAnsi="Calibri" w:cs="Calibri"/>
          <w:i/>
          <w:sz w:val="20"/>
        </w:rPr>
        <w:t>)</w:t>
      </w:r>
      <w:r w:rsidRPr="00564577">
        <w:rPr>
          <w:rFonts w:ascii="Calibri" w:hAnsi="Calibri" w:cs="Calibri"/>
          <w:i/>
          <w:sz w:val="20"/>
        </w:rPr>
        <w:t>(</w:t>
      </w:r>
      <w:r w:rsidRPr="00564577">
        <w:rPr>
          <w:rFonts w:ascii="Calibri" w:hAnsi="Calibri" w:cs="Calibri"/>
          <w:i/>
          <w:sz w:val="20"/>
        </w:rPr>
        <w:t xml:space="preserve">Tribunal de Justiça do </w:t>
      </w:r>
      <w:r w:rsidRPr="00564577">
        <w:rPr>
          <w:rFonts w:ascii="Calibri" w:hAnsi="Calibri" w:cs="Calibri"/>
          <w:i/>
          <w:sz w:val="20"/>
        </w:rPr>
        <w:t xml:space="preserve">Estado de São Paulo, Órgão Especial, ADI nº 2150170- 91.2016.8.26.0000, j. 19 de outubro de </w:t>
      </w:r>
      <w:r w:rsidR="00564577">
        <w:rPr>
          <w:rFonts w:ascii="Calibri" w:hAnsi="Calibri" w:cs="Calibri"/>
          <w:i/>
          <w:sz w:val="20"/>
        </w:rPr>
        <w:t>2016, Rel. Des. Márcio Bartoli)</w:t>
      </w:r>
    </w:p>
    <w:p w:rsidR="00230290" w:rsidRPr="00B73ABA" w:rsidP="00B73ABA">
      <w:pPr>
        <w:spacing w:after="120"/>
        <w:ind w:left="2268"/>
        <w:jc w:val="both"/>
        <w:rPr>
          <w:rFonts w:ascii="Calibri" w:hAnsi="Calibri" w:cs="Calibri"/>
          <w:bCs/>
          <w:i/>
          <w:sz w:val="22"/>
          <w:szCs w:val="22"/>
        </w:rPr>
      </w:pPr>
      <w:r w:rsidRPr="00B73ABA">
        <w:rPr>
          <w:rFonts w:ascii="Calibri" w:hAnsi="Calibri" w:cs="Calibri"/>
          <w:i/>
          <w:sz w:val="22"/>
          <w:szCs w:val="22"/>
        </w:rPr>
        <w:t>________________________________________________________</w:t>
      </w:r>
    </w:p>
    <w:p w:rsidR="00564577" w:rsidP="00B73ABA">
      <w:pPr>
        <w:pBdr>
          <w:bottom w:val="single" w:sz="12" w:space="1" w:color="auto"/>
        </w:pBdr>
        <w:spacing w:after="120"/>
        <w:ind w:left="2268"/>
        <w:jc w:val="both"/>
        <w:rPr>
          <w:rFonts w:asciiTheme="minorHAnsi" w:hAnsiTheme="minorHAnsi" w:cstheme="minorHAnsi"/>
          <w:i/>
          <w:sz w:val="22"/>
          <w:szCs w:val="22"/>
        </w:rPr>
      </w:pPr>
      <w:r w:rsidRPr="00B73ABA">
        <w:rPr>
          <w:rFonts w:asciiTheme="minorHAnsi" w:hAnsiTheme="minorHAnsi" w:cstheme="minorHAnsi"/>
          <w:i/>
          <w:sz w:val="22"/>
          <w:szCs w:val="22"/>
        </w:rPr>
        <w:t xml:space="preserve">Ação direta de inconstitucionalidade. </w:t>
      </w:r>
      <w:r w:rsidRPr="00B73ABA">
        <w:rPr>
          <w:rFonts w:asciiTheme="minorHAnsi" w:hAnsiTheme="minorHAnsi" w:cstheme="minorHAnsi"/>
          <w:b/>
          <w:i/>
          <w:sz w:val="22"/>
          <w:szCs w:val="22"/>
        </w:rPr>
        <w:t>Lei municipal de origem parlamentar que institui campanha permanente de combate à pichação e atos de vandalismo no Município de Suzano. Inexistência de vício de iniciativa: o rol de iniciativas legislativas reservadas ao Chefe do Poder Executivo é matéria taxativamente disposta na Constituição Estadual. Ausente ofensa à regra de iniciativa, ademais, em razão da imposição de gastos à Administração. Precedentes do STF.</w:t>
      </w:r>
      <w:r w:rsidRPr="00B73ABA">
        <w:rPr>
          <w:rFonts w:asciiTheme="minorHAnsi" w:hAnsiTheme="minorHAnsi" w:cstheme="minorHAnsi"/>
          <w:i/>
          <w:sz w:val="22"/>
          <w:szCs w:val="22"/>
        </w:rPr>
        <w:t xml:space="preserve"> Não ocorrência de infração ao princípio da harmonia e interdependência entre os poderes na parte principal do texto legal. Não configurada, nesse ponto, usurpação de quaisquer das atribuições administrativas reservadas ao Chefe do Poder Executivo, previstas no artigo 47 da Constituição do Estado de São Paulo. Lei que cuida de assunto local, relativo à proteção do meio ambiente e controle da poluição. Precedentes deste Órgão Especial. Ausência de dotação orçamentária específica que não torna a norma inconstitucional, importando, no máximo, na sua inexequibilidade no mesmo exercício orçamentário em que fora promulgada. Precedentes do STF. Expressões e dispositivos legais que fazem referência genérica à hipótese de infração administrativa e às sanções, sem, contudo, prever de forma exata e clara o 'quantum' da multa cominada, o que contrasta com o princípio da legalidade estipulado no artigo 111 da Constituição Paulista. Vedado ao Poder Legislativo deixar ao arbítrio do administrador a disciplina de matéria reservada à lei. </w:t>
      </w:r>
      <w:r w:rsidRPr="00B73ABA">
        <w:rPr>
          <w:rFonts w:asciiTheme="minorHAnsi" w:hAnsiTheme="minorHAnsi" w:cstheme="minorHAnsi"/>
          <w:b/>
          <w:i/>
          <w:sz w:val="22"/>
          <w:szCs w:val="22"/>
          <w:u w:val="single"/>
        </w:rPr>
        <w:t>Inconstitucionalidade, ademais, do trecho normativo que interfere na prática de atos de gestão, impondo à Administração "termos de parcerias", assim como outras medidas executivas e específicas.</w:t>
      </w:r>
      <w:r w:rsidRPr="00B73ABA">
        <w:rPr>
          <w:rFonts w:asciiTheme="minorHAnsi" w:hAnsiTheme="minorHAnsi" w:cstheme="minorHAnsi"/>
          <w:i/>
          <w:sz w:val="22"/>
          <w:szCs w:val="22"/>
        </w:rPr>
        <w:t xml:space="preserve"> </w:t>
      </w:r>
      <w:r w:rsidRPr="00B73ABA">
        <w:rPr>
          <w:rFonts w:asciiTheme="minorHAnsi" w:hAnsiTheme="minorHAnsi" w:cstheme="minorHAnsi"/>
          <w:b/>
          <w:i/>
          <w:sz w:val="22"/>
          <w:szCs w:val="22"/>
        </w:rPr>
        <w:t xml:space="preserve">Violação à interdependência e harmonia entre os Poderes, apenas nesse particular. Procedência parcial do </w:t>
      </w:r>
      <w:r w:rsidRPr="00B73ABA">
        <w:rPr>
          <w:rFonts w:asciiTheme="minorHAnsi" w:hAnsiTheme="minorHAnsi" w:cstheme="minorHAnsi"/>
          <w:b/>
          <w:i/>
          <w:sz w:val="22"/>
          <w:szCs w:val="22"/>
        </w:rPr>
        <w:t>pedido</w:t>
      </w:r>
      <w:r w:rsidRPr="00B73ABA">
        <w:rPr>
          <w:rFonts w:asciiTheme="minorHAnsi" w:hAnsiTheme="minorHAnsi" w:cstheme="minorHAnsi"/>
          <w:i/>
          <w:sz w:val="22"/>
          <w:szCs w:val="22"/>
        </w:rPr>
        <w:t>.</w:t>
      </w:r>
      <w:r>
        <w:rPr>
          <w:rFonts w:asciiTheme="minorHAnsi" w:hAnsiTheme="minorHAnsi" w:cstheme="minorHAnsi"/>
          <w:i/>
          <w:sz w:val="22"/>
          <w:szCs w:val="22"/>
        </w:rPr>
        <w:t>(</w:t>
      </w:r>
      <w:r w:rsidRPr="00B73ABA">
        <w:rPr>
          <w:rFonts w:asciiTheme="minorHAnsi" w:hAnsiTheme="minorHAnsi" w:cstheme="minorHAnsi"/>
          <w:i/>
          <w:sz w:val="22"/>
          <w:szCs w:val="22"/>
        </w:rPr>
        <w:t xml:space="preserve"> </w:t>
      </w:r>
      <w:r w:rsidRPr="00564577">
        <w:rPr>
          <w:rFonts w:asciiTheme="minorHAnsi" w:hAnsiTheme="minorHAnsi" w:cstheme="minorHAnsi"/>
          <w:i/>
          <w:sz w:val="20"/>
        </w:rPr>
        <w:t>grifamos)</w:t>
      </w:r>
    </w:p>
    <w:p w:rsidR="00230290" w:rsidRPr="00564577" w:rsidP="00B73ABA">
      <w:pPr>
        <w:pBdr>
          <w:bottom w:val="single" w:sz="12" w:space="1" w:color="auto"/>
        </w:pBdr>
        <w:spacing w:after="120"/>
        <w:ind w:left="2268"/>
        <w:jc w:val="both"/>
        <w:rPr>
          <w:rFonts w:asciiTheme="minorHAnsi" w:hAnsiTheme="minorHAnsi" w:cstheme="minorHAnsi"/>
          <w:i/>
          <w:sz w:val="20"/>
        </w:rPr>
      </w:pPr>
      <w:r w:rsidRPr="00564577">
        <w:rPr>
          <w:rFonts w:asciiTheme="minorHAnsi" w:hAnsiTheme="minorHAnsi" w:cstheme="minorHAnsi"/>
          <w:i/>
          <w:sz w:val="20"/>
        </w:rPr>
        <w:t xml:space="preserve">(Tribunal de Justiça do Estado de São Paulo, Órgão Especial, ADI nº 2246723- 06.2016.8.26.0000, Rel. Des. Márcio </w:t>
      </w:r>
      <w:r w:rsidR="00564577">
        <w:rPr>
          <w:rFonts w:asciiTheme="minorHAnsi" w:hAnsiTheme="minorHAnsi" w:cstheme="minorHAnsi"/>
          <w:i/>
          <w:sz w:val="20"/>
        </w:rPr>
        <w:t xml:space="preserve">Bartoli, j. </w:t>
      </w:r>
      <w:r w:rsidR="00564577">
        <w:rPr>
          <w:rFonts w:asciiTheme="minorHAnsi" w:hAnsiTheme="minorHAnsi" w:cstheme="minorHAnsi"/>
          <w:i/>
          <w:sz w:val="20"/>
        </w:rPr>
        <w:t>5</w:t>
      </w:r>
      <w:r w:rsidR="00564577">
        <w:rPr>
          <w:rFonts w:asciiTheme="minorHAnsi" w:hAnsiTheme="minorHAnsi" w:cstheme="minorHAnsi"/>
          <w:i/>
          <w:sz w:val="20"/>
        </w:rPr>
        <w:t xml:space="preserve"> de abril de 2017)</w:t>
      </w:r>
    </w:p>
    <w:p w:rsidR="00564577" w:rsidRPr="00564577" w:rsidP="00B73ABA">
      <w:pPr>
        <w:spacing w:before="240" w:after="240"/>
        <w:ind w:left="2268"/>
        <w:jc w:val="both"/>
        <w:rPr>
          <w:rFonts w:asciiTheme="minorHAnsi" w:hAnsiTheme="minorHAnsi" w:cstheme="minorHAnsi"/>
          <w:i/>
          <w:sz w:val="4"/>
          <w:szCs w:val="4"/>
        </w:rPr>
      </w:pPr>
    </w:p>
    <w:p w:rsidR="00230290" w:rsidP="00230290">
      <w:pPr>
        <w:spacing w:after="120" w:line="360" w:lineRule="auto"/>
        <w:ind w:left="2268" w:firstLine="1701"/>
        <w:jc w:val="both"/>
        <w:rPr>
          <w:rFonts w:ascii="Calibri" w:hAnsi="Calibri" w:cs="Calibri"/>
          <w:sz w:val="4"/>
          <w:szCs w:val="4"/>
        </w:rPr>
      </w:pPr>
    </w:p>
    <w:p w:rsidR="00A53F3E" w:rsidRPr="007628F6" w:rsidP="00A53F3E">
      <w:pPr>
        <w:spacing w:after="120" w:line="360" w:lineRule="auto"/>
        <w:ind w:firstLine="1701"/>
        <w:jc w:val="both"/>
        <w:rPr>
          <w:rFonts w:asciiTheme="minorHAnsi" w:hAnsiTheme="minorHAnsi" w:cstheme="minorHAnsi"/>
        </w:rPr>
      </w:pPr>
      <w:r w:rsidRPr="007628F6">
        <w:rPr>
          <w:rFonts w:ascii="Calibri" w:hAnsi="Calibri" w:cs="Calibri"/>
        </w:rPr>
        <w:t>Todavia,</w:t>
      </w:r>
      <w:r w:rsidRPr="007628F6">
        <w:rPr>
          <w:rFonts w:ascii="Calibri" w:hAnsi="Calibri" w:cs="Calibri"/>
          <w:b/>
        </w:rPr>
        <w:t xml:space="preserve"> sugerimos a supressão do</w:t>
      </w:r>
      <w:r w:rsidRPr="007628F6" w:rsidR="00E05F3C">
        <w:rPr>
          <w:rFonts w:ascii="Calibri" w:hAnsi="Calibri" w:cs="Calibri"/>
          <w:b/>
        </w:rPr>
        <w:t xml:space="preserve"> “</w:t>
      </w:r>
      <w:r w:rsidRPr="007628F6" w:rsidR="00E05F3C">
        <w:rPr>
          <w:rFonts w:ascii="Calibri" w:hAnsi="Calibri" w:cs="Calibri"/>
          <w:b/>
          <w:i/>
        </w:rPr>
        <w:t xml:space="preserve">caput” </w:t>
      </w:r>
      <w:r w:rsidRPr="007628F6" w:rsidR="00E05F3C">
        <w:rPr>
          <w:rFonts w:ascii="Calibri" w:hAnsi="Calibri" w:cs="Calibri"/>
          <w:b/>
        </w:rPr>
        <w:t>do</w:t>
      </w:r>
      <w:r w:rsidRPr="007628F6">
        <w:rPr>
          <w:rFonts w:ascii="Calibri" w:hAnsi="Calibri" w:cs="Calibri"/>
          <w:b/>
        </w:rPr>
        <w:t xml:space="preserve"> art.</w:t>
      </w:r>
      <w:r w:rsidRPr="007628F6" w:rsidR="00E05F3C">
        <w:rPr>
          <w:rFonts w:ascii="Calibri" w:hAnsi="Calibri" w:cs="Calibri"/>
          <w:b/>
        </w:rPr>
        <w:t xml:space="preserve"> 5</w:t>
      </w:r>
      <w:r w:rsidRPr="007628F6">
        <w:rPr>
          <w:rFonts w:ascii="Calibri" w:hAnsi="Calibri" w:cs="Calibri"/>
          <w:b/>
        </w:rPr>
        <w:t xml:space="preserve">º do projeto </w:t>
      </w:r>
      <w:r w:rsidRPr="007628F6">
        <w:rPr>
          <w:rFonts w:ascii="Calibri" w:hAnsi="Calibri" w:cs="Calibri"/>
          <w:szCs w:val="24"/>
        </w:rPr>
        <w:t xml:space="preserve">por </w:t>
      </w:r>
      <w:r w:rsidRPr="007628F6">
        <w:rPr>
          <w:rFonts w:asciiTheme="minorHAnsi" w:hAnsiTheme="minorHAnsi" w:cstheme="minorHAnsi"/>
          <w:szCs w:val="24"/>
          <w:shd w:val="clear" w:color="auto" w:fill="FFFFFF"/>
        </w:rPr>
        <w:t xml:space="preserve">afronta aos artigos 5º, 47, </w:t>
      </w:r>
      <w:r w:rsidRPr="007628F6">
        <w:rPr>
          <w:rFonts w:asciiTheme="minorHAnsi" w:hAnsiTheme="minorHAnsi" w:cstheme="minorHAnsi"/>
          <w:szCs w:val="24"/>
          <w:shd w:val="clear" w:color="auto" w:fill="FFFFFF"/>
        </w:rPr>
        <w:t xml:space="preserve">incisos </w:t>
      </w:r>
      <w:r w:rsidRPr="007628F6">
        <w:rPr>
          <w:rFonts w:asciiTheme="minorHAnsi" w:hAnsiTheme="minorHAnsi" w:cstheme="minorHAnsi"/>
        </w:rPr>
        <w:t xml:space="preserve">II e XIV, da Constituição Estadual, que constituem dispositivos de observância obrigatória aos Municípios, in </w:t>
      </w:r>
      <w:r w:rsidRPr="007628F6">
        <w:rPr>
          <w:rFonts w:asciiTheme="minorHAnsi" w:hAnsiTheme="minorHAnsi" w:cstheme="minorHAnsi"/>
          <w:i/>
          <w:iCs/>
        </w:rPr>
        <w:t>verbis:</w:t>
      </w: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r w:rsidRPr="007628F6">
        <w:rPr>
          <w:rFonts w:eastAsia="Calibri" w:asciiTheme="minorHAnsi" w:hAnsiTheme="minorHAnsi" w:cstheme="minorHAnsi"/>
          <w:bCs/>
          <w:i/>
          <w:iCs/>
          <w:sz w:val="22"/>
          <w:szCs w:val="22"/>
        </w:rPr>
        <w:t>“Art. 5º - São Poderes do Estado, independentes e harmônicos entre si, o Legislativo, o Executivo e o Judiciário.”</w:t>
      </w: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r w:rsidRPr="007628F6">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r w:rsidRPr="007628F6">
        <w:rPr>
          <w:rFonts w:eastAsia="Calibri" w:asciiTheme="minorHAnsi" w:hAnsiTheme="minorHAnsi" w:cstheme="minorHAnsi"/>
          <w:bCs/>
          <w:i/>
          <w:iCs/>
          <w:sz w:val="22"/>
          <w:szCs w:val="22"/>
        </w:rPr>
        <w:t xml:space="preserve"> [...]</w:t>
      </w: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r w:rsidRPr="007628F6">
        <w:rPr>
          <w:rFonts w:eastAsia="Calibri" w:asciiTheme="minorHAnsi" w:hAnsiTheme="minorHAnsi" w:cstheme="minorHAnsi"/>
          <w:bCs/>
          <w:i/>
          <w:iCs/>
          <w:sz w:val="22"/>
          <w:szCs w:val="22"/>
        </w:rPr>
        <w:t>II - exercer, com o auxílio dos Secretários de Estado, a direção superior da administração estadual;</w:t>
      </w: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r w:rsidRPr="007628F6">
        <w:rPr>
          <w:rFonts w:eastAsia="Calibri" w:asciiTheme="minorHAnsi" w:hAnsiTheme="minorHAnsi" w:cstheme="minorHAnsi"/>
          <w:bCs/>
          <w:i/>
          <w:iCs/>
          <w:sz w:val="22"/>
          <w:szCs w:val="22"/>
        </w:rPr>
        <w:t>[...]</w:t>
      </w:r>
    </w:p>
    <w:p w:rsidR="00A53F3E" w:rsidRPr="007628F6" w:rsidP="00A53F3E">
      <w:pPr>
        <w:autoSpaceDE w:val="0"/>
        <w:autoSpaceDN w:val="0"/>
        <w:adjustRightInd w:val="0"/>
        <w:spacing w:after="120"/>
        <w:ind w:left="2268"/>
        <w:jc w:val="both"/>
        <w:rPr>
          <w:rFonts w:eastAsia="Calibri" w:asciiTheme="minorHAnsi" w:hAnsiTheme="minorHAnsi" w:cstheme="minorHAnsi"/>
          <w:bCs/>
          <w:i/>
          <w:iCs/>
          <w:sz w:val="22"/>
          <w:szCs w:val="22"/>
        </w:rPr>
      </w:pPr>
      <w:r w:rsidRPr="007628F6">
        <w:rPr>
          <w:rFonts w:eastAsia="Calibri" w:asciiTheme="minorHAnsi" w:hAnsiTheme="minorHAnsi" w:cstheme="minorHAnsi"/>
          <w:bCs/>
          <w:i/>
          <w:iCs/>
          <w:sz w:val="22"/>
          <w:szCs w:val="22"/>
        </w:rPr>
        <w:t>XIV - praticar os demais atos de administração, nos limites da competência do Executivo;”</w:t>
      </w:r>
      <w:r w:rsidRPr="007628F6">
        <w:rPr>
          <w:rFonts w:eastAsia="Calibri" w:asciiTheme="minorHAnsi" w:hAnsiTheme="minorHAnsi" w:cstheme="minorHAnsi"/>
          <w:bCs/>
          <w:i/>
          <w:iCs/>
          <w:sz w:val="22"/>
          <w:szCs w:val="22"/>
        </w:rPr>
        <w:t>;</w:t>
      </w:r>
    </w:p>
    <w:p w:rsidR="00A53F3E" w:rsidRPr="007628F6" w:rsidP="00A53F3E">
      <w:pPr>
        <w:autoSpaceDE w:val="0"/>
        <w:autoSpaceDN w:val="0"/>
        <w:adjustRightInd w:val="0"/>
        <w:spacing w:after="80"/>
        <w:ind w:left="2835"/>
        <w:jc w:val="both"/>
        <w:rPr>
          <w:rFonts w:eastAsia="Calibri" w:asciiTheme="minorHAnsi" w:hAnsiTheme="minorHAnsi" w:cstheme="minorHAnsi"/>
          <w:bCs/>
          <w:i/>
          <w:iCs/>
          <w:sz w:val="22"/>
          <w:szCs w:val="22"/>
        </w:rPr>
      </w:pPr>
    </w:p>
    <w:p w:rsidR="00A53F3E" w:rsidRPr="007628F6" w:rsidP="00A53F3E">
      <w:pPr>
        <w:spacing w:after="120" w:line="360" w:lineRule="auto"/>
        <w:ind w:firstLine="1701"/>
        <w:jc w:val="both"/>
        <w:rPr>
          <w:rFonts w:asciiTheme="minorHAnsi" w:hAnsiTheme="minorHAnsi" w:cstheme="minorHAnsi"/>
          <w:szCs w:val="24"/>
        </w:rPr>
      </w:pPr>
      <w:r w:rsidRPr="007628F6">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2"/>
      </w:r>
      <w:r w:rsidRPr="007628F6">
        <w:rPr>
          <w:rFonts w:asciiTheme="minorHAnsi" w:hAnsiTheme="minorHAnsi" w:cstheme="minorHAnsi"/>
          <w:szCs w:val="24"/>
        </w:rPr>
        <w:t>:</w:t>
      </w:r>
    </w:p>
    <w:p w:rsidR="00A53F3E" w:rsidRPr="007628F6" w:rsidP="008A2A1B">
      <w:pPr>
        <w:spacing w:after="120"/>
        <w:ind w:left="2268"/>
        <w:jc w:val="both"/>
        <w:rPr>
          <w:rFonts w:asciiTheme="minorHAnsi" w:hAnsiTheme="minorHAnsi" w:cstheme="minorHAnsi"/>
          <w:b/>
          <w:i/>
          <w:sz w:val="22"/>
          <w:szCs w:val="22"/>
        </w:rPr>
      </w:pPr>
      <w:r w:rsidRPr="007628F6">
        <w:rPr>
          <w:rFonts w:asciiTheme="minorHAnsi" w:hAnsiTheme="minorHAnsi" w:cstheme="minorHAnsi"/>
          <w:b/>
          <w:i/>
          <w:sz w:val="22"/>
          <w:szCs w:val="22"/>
        </w:rPr>
        <w:t>A liberdade de conformação do legislador encontra limites no texto constitucional</w:t>
      </w:r>
      <w:r w:rsidRPr="007628F6">
        <w:rPr>
          <w:rFonts w:asciiTheme="minorHAnsi" w:hAnsiTheme="minorHAnsi" w:cstheme="minorHAnsi"/>
          <w:i/>
          <w:sz w:val="22"/>
          <w:szCs w:val="22"/>
        </w:rPr>
        <w:t>. Entre esses limites, costuma-se apontar, no Direito Comparado, a existência da denominada “</w:t>
      </w:r>
      <w:r w:rsidRPr="007628F6">
        <w:rPr>
          <w:rFonts w:asciiTheme="minorHAnsi" w:hAnsiTheme="minorHAnsi" w:cstheme="minorHAnsi"/>
          <w:b/>
          <w:i/>
          <w:sz w:val="22"/>
          <w:szCs w:val="22"/>
        </w:rPr>
        <w:t xml:space="preserve">reserva de administração” como um verdadeiro “núcleo funcional da administração ‘resistente’ à lei”. Daí a Constituição, em situações específicas, determinar que o tratamento de determinadas matérias </w:t>
      </w:r>
      <w:r w:rsidRPr="007628F6">
        <w:rPr>
          <w:rFonts w:asciiTheme="minorHAnsi" w:hAnsiTheme="minorHAnsi" w:cstheme="minorHAnsi"/>
          <w:b/>
          <w:i/>
          <w:sz w:val="22"/>
          <w:szCs w:val="22"/>
        </w:rPr>
        <w:t>fica</w:t>
      </w:r>
      <w:r w:rsidRPr="007628F6">
        <w:rPr>
          <w:rFonts w:asciiTheme="minorHAnsi" w:hAnsiTheme="minorHAnsi" w:cstheme="minorHAnsi"/>
          <w:b/>
          <w:i/>
          <w:sz w:val="22"/>
          <w:szCs w:val="22"/>
        </w:rPr>
        <w:t xml:space="preserve"> adstrito ao âmbito exclusivo da Administração Pública, não sendo lícita a ingerência do parlamento.</w:t>
      </w:r>
      <w:r w:rsidRPr="007628F6">
        <w:rPr>
          <w:rFonts w:ascii="MS Gothic" w:eastAsia="MS Gothic" w:hAnsi="MS Gothic" w:cs="MS Gothic" w:hint="eastAsia"/>
          <w:b/>
          <w:i/>
          <w:sz w:val="22"/>
          <w:szCs w:val="22"/>
        </w:rPr>
        <w:t> </w:t>
      </w:r>
    </w:p>
    <w:p w:rsidR="00A53F3E" w:rsidRPr="007628F6" w:rsidP="008A2A1B">
      <w:pPr>
        <w:spacing w:after="120"/>
        <w:ind w:left="2268"/>
        <w:jc w:val="both"/>
        <w:rPr>
          <w:rFonts w:asciiTheme="minorHAnsi" w:hAnsiTheme="minorHAnsi" w:cstheme="minorHAnsi"/>
          <w:i/>
          <w:sz w:val="22"/>
          <w:szCs w:val="22"/>
        </w:rPr>
      </w:pPr>
      <w:r w:rsidRPr="007628F6">
        <w:rPr>
          <w:rFonts w:asciiTheme="minorHAnsi" w:hAnsiTheme="minorHAnsi" w:cstheme="minorHAnsi"/>
          <w:i/>
          <w:sz w:val="22"/>
          <w:szCs w:val="22"/>
        </w:rPr>
        <w:t xml:space="preserve">A reserva de administração pode ser dividida em duas </w:t>
      </w:r>
      <w:r w:rsidRPr="007628F6">
        <w:rPr>
          <w:rFonts w:asciiTheme="minorHAnsi" w:hAnsiTheme="minorHAnsi" w:cstheme="minorHAnsi"/>
          <w:i/>
          <w:sz w:val="22"/>
          <w:szCs w:val="22"/>
        </w:rPr>
        <w:t>categorias:</w:t>
      </w:r>
      <w:r w:rsidRPr="007628F6">
        <w:rPr>
          <w:rFonts w:ascii="MS Gothic" w:eastAsia="MS Gothic" w:hAnsi="MS Gothic" w:cs="MS Gothic" w:hint="eastAsia"/>
          <w:i/>
          <w:sz w:val="22"/>
          <w:szCs w:val="22"/>
        </w:rPr>
        <w:t> </w:t>
      </w:r>
    </w:p>
    <w:p w:rsidR="00A53F3E" w:rsidRPr="007628F6" w:rsidP="008A2A1B">
      <w:pPr>
        <w:spacing w:after="120"/>
        <w:ind w:left="2268"/>
        <w:jc w:val="both"/>
        <w:rPr>
          <w:rFonts w:asciiTheme="minorHAnsi" w:hAnsiTheme="minorHAnsi" w:cstheme="minorHAnsi"/>
          <w:i/>
          <w:sz w:val="22"/>
          <w:szCs w:val="22"/>
        </w:rPr>
      </w:pPr>
      <w:r w:rsidRPr="007628F6">
        <w:rPr>
          <w:rFonts w:asciiTheme="minorHAnsi" w:hAnsiTheme="minorHAnsi" w:cstheme="minorHAnsi"/>
          <w:i/>
          <w:sz w:val="22"/>
          <w:szCs w:val="22"/>
        </w:rPr>
        <w:t xml:space="preserve">a) reserva geral de administração: fundamenta-se no </w:t>
      </w:r>
      <w:r w:rsidRPr="007628F6">
        <w:rPr>
          <w:rFonts w:asciiTheme="minorHAnsi" w:hAnsiTheme="minorHAnsi" w:cstheme="minorHAnsi"/>
          <w:b/>
          <w:i/>
          <w:sz w:val="22"/>
          <w:szCs w:val="22"/>
        </w:rPr>
        <w:t>princípio da separação de poderes</w:t>
      </w:r>
      <w:r w:rsidRPr="007628F6">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w:t>
      </w:r>
      <w:r w:rsidRPr="007628F6">
        <w:rPr>
          <w:rFonts w:asciiTheme="minorHAnsi" w:hAnsiTheme="minorHAnsi" w:cstheme="minorHAnsi"/>
          <w:i/>
          <w:sz w:val="22"/>
          <w:szCs w:val="22"/>
        </w:rPr>
        <w:t>Administração executar as leis, especialmente no exercício da discricionariedade administrativa; e</w:t>
      </w:r>
      <w:r w:rsidRPr="007628F6">
        <w:rPr>
          <w:rFonts w:ascii="MS Gothic" w:eastAsia="MS Gothic" w:hAnsi="MS Gothic" w:cs="MS Gothic" w:hint="eastAsia"/>
          <w:i/>
          <w:sz w:val="22"/>
          <w:szCs w:val="22"/>
        </w:rPr>
        <w:t> </w:t>
      </w:r>
    </w:p>
    <w:p w:rsidR="00A53F3E" w:rsidRPr="007628F6" w:rsidP="008A2A1B">
      <w:pPr>
        <w:spacing w:after="120"/>
        <w:ind w:left="2268"/>
        <w:jc w:val="both"/>
        <w:rPr>
          <w:rFonts w:asciiTheme="minorHAnsi" w:hAnsiTheme="minorHAnsi" w:cstheme="minorHAnsi"/>
          <w:b/>
          <w:i/>
          <w:sz w:val="22"/>
          <w:szCs w:val="22"/>
        </w:rPr>
      </w:pPr>
      <w:r w:rsidRPr="007628F6">
        <w:rPr>
          <w:rFonts w:asciiTheme="minorHAnsi" w:hAnsiTheme="minorHAnsi" w:cstheme="minorHAnsi"/>
          <w:i/>
          <w:sz w:val="22"/>
          <w:szCs w:val="22"/>
        </w:rPr>
        <w:t xml:space="preserve">b) reserva específica de administração: </w:t>
      </w:r>
      <w:r w:rsidRPr="007628F6">
        <w:rPr>
          <w:rFonts w:asciiTheme="minorHAnsi" w:hAnsiTheme="minorHAnsi" w:cstheme="minorHAnsi"/>
          <w:b/>
          <w:i/>
          <w:sz w:val="22"/>
          <w:szCs w:val="22"/>
        </w:rPr>
        <w:t xml:space="preserve">quando a Constituição destaca determinadas matérias, submetendo-as à competência exclusiva do Poder </w:t>
      </w:r>
      <w:r w:rsidRPr="007628F6">
        <w:rPr>
          <w:rFonts w:asciiTheme="minorHAnsi" w:hAnsiTheme="minorHAnsi" w:cstheme="minorHAnsi"/>
          <w:b/>
          <w:i/>
          <w:sz w:val="22"/>
          <w:szCs w:val="22"/>
        </w:rPr>
        <w:t>Executivo.</w:t>
      </w:r>
      <w:r w:rsidRPr="007628F6">
        <w:rPr>
          <w:rFonts w:ascii="MS Gothic" w:eastAsia="MS Gothic" w:hAnsi="MS Gothic" w:cs="MS Gothic" w:hint="eastAsia"/>
          <w:b/>
          <w:i/>
          <w:sz w:val="22"/>
          <w:szCs w:val="22"/>
        </w:rPr>
        <w:t> </w:t>
      </w:r>
    </w:p>
    <w:p w:rsidR="00A53F3E" w:rsidRPr="007628F6" w:rsidP="008A2A1B">
      <w:pPr>
        <w:spacing w:after="120"/>
        <w:ind w:left="2268"/>
        <w:jc w:val="both"/>
        <w:rPr>
          <w:rFonts w:asciiTheme="minorHAnsi" w:hAnsiTheme="minorHAnsi" w:cstheme="minorHAnsi"/>
          <w:i/>
          <w:sz w:val="22"/>
          <w:szCs w:val="22"/>
        </w:rPr>
      </w:pPr>
      <w:r w:rsidRPr="007628F6">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7628F6">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7628F6">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Executivo por suposta violação às normas legais, pois uma declaração dessa natureza revelaria o exercício de autotutela que só poderia ser exercida com exclusividade por quem realizou o certame (Enunciado 473 da súmula predominante do STF).” </w:t>
      </w:r>
      <w:r w:rsidRPr="007628F6">
        <w:rPr>
          <w:rFonts w:asciiTheme="minorHAnsi" w:hAnsiTheme="minorHAnsi" w:cstheme="minorHAnsi"/>
          <w:i/>
          <w:sz w:val="22"/>
          <w:szCs w:val="22"/>
        </w:rPr>
        <w:t>(OLIVEIRA, Rezende, R. C.</w:t>
      </w:r>
      <w:r w:rsidRPr="007628F6">
        <w:rPr>
          <w:rFonts w:asciiTheme="minorHAnsi" w:hAnsiTheme="minorHAnsi" w:cstheme="minorHAnsi"/>
          <w:i/>
          <w:sz w:val="22"/>
          <w:szCs w:val="22"/>
        </w:rPr>
        <w:t xml:space="preserve"> Curso de Direito Administrativo, 6ª edição, p. 267. Grifo nosso.</w:t>
      </w:r>
    </w:p>
    <w:p w:rsidR="00A53F3E" w:rsidRPr="007628F6" w:rsidP="00A53F3E">
      <w:pPr>
        <w:ind w:left="2268"/>
        <w:jc w:val="both"/>
        <w:rPr>
          <w:rFonts w:asciiTheme="minorHAnsi" w:hAnsiTheme="minorHAnsi" w:cstheme="minorHAnsi"/>
          <w:i/>
          <w:sz w:val="4"/>
          <w:szCs w:val="4"/>
        </w:rPr>
      </w:pPr>
    </w:p>
    <w:p w:rsidR="0091612B" w:rsidRPr="007628F6" w:rsidP="00A53F3E">
      <w:pPr>
        <w:spacing w:after="120" w:line="360" w:lineRule="auto"/>
        <w:ind w:firstLine="1701"/>
        <w:jc w:val="both"/>
        <w:rPr>
          <w:rFonts w:ascii="Calibri" w:hAnsi="Calibri" w:cs="Calibri"/>
        </w:rPr>
      </w:pPr>
      <w:r w:rsidRPr="007628F6">
        <w:rPr>
          <w:rFonts w:asciiTheme="minorHAnsi" w:hAnsiTheme="minorHAnsi" w:cstheme="minorHAnsi"/>
          <w:szCs w:val="24"/>
        </w:rPr>
        <w:t>Na mesma</w:t>
      </w:r>
      <w:r w:rsidRPr="007628F6" w:rsidR="00A53F3E">
        <w:rPr>
          <w:rFonts w:asciiTheme="minorHAnsi" w:hAnsiTheme="minorHAnsi" w:cstheme="minorHAnsi"/>
          <w:szCs w:val="24"/>
        </w:rPr>
        <w:t xml:space="preserve"> linha, </w:t>
      </w:r>
      <w:r w:rsidRPr="007628F6">
        <w:rPr>
          <w:rFonts w:asciiTheme="minorHAnsi" w:hAnsiTheme="minorHAnsi" w:cstheme="minorHAnsi"/>
          <w:szCs w:val="24"/>
        </w:rPr>
        <w:t>colacionamos decisões</w:t>
      </w:r>
      <w:r w:rsidRPr="007628F6" w:rsidR="00A53F3E">
        <w:rPr>
          <w:rFonts w:asciiTheme="minorHAnsi" w:hAnsiTheme="minorHAnsi" w:cstheme="minorHAnsi"/>
          <w:szCs w:val="24"/>
        </w:rPr>
        <w:t xml:space="preserve"> do E. Tribunal de Justiça do Estado de São Paulo</w:t>
      </w:r>
      <w:r w:rsidRPr="007628F6" w:rsidR="003D7230">
        <w:rPr>
          <w:rFonts w:ascii="Calibri" w:hAnsi="Calibri" w:cs="Calibri"/>
        </w:rPr>
        <w:t>:</w:t>
      </w:r>
    </w:p>
    <w:p w:rsidR="00A53F3E" w:rsidRPr="007628F6" w:rsidP="00A53F3E">
      <w:pPr>
        <w:spacing w:after="120"/>
        <w:ind w:left="2268"/>
        <w:jc w:val="both"/>
        <w:rPr>
          <w:rFonts w:asciiTheme="minorHAnsi" w:hAnsiTheme="minorHAnsi" w:cstheme="minorHAnsi"/>
          <w:b/>
          <w:i/>
          <w:sz w:val="22"/>
          <w:szCs w:val="22"/>
          <w:shd w:val="clear" w:color="auto" w:fill="FFFFFF"/>
        </w:rPr>
      </w:pPr>
      <w:r w:rsidRPr="007628F6">
        <w:rPr>
          <w:rFonts w:asciiTheme="minorHAnsi" w:hAnsiTheme="minorHAnsi" w:cstheme="minorHAnsi"/>
          <w:i/>
          <w:sz w:val="22"/>
          <w:szCs w:val="22"/>
          <w:shd w:val="clear" w:color="auto" w:fill="FFFFFF"/>
        </w:rPr>
        <w:t xml:space="preserve">AÇÃO DIRETA DE INCONSTITUCIONALIDADE – Lei nº 10.291, de 12 de março de 2020, do Município de Santo André, que </w:t>
      </w:r>
      <w:r w:rsidRPr="007628F6">
        <w:rPr>
          <w:rFonts w:asciiTheme="minorHAnsi" w:hAnsiTheme="minorHAnsi" w:cstheme="minorHAnsi"/>
          <w:b/>
          <w:i/>
          <w:sz w:val="22"/>
          <w:szCs w:val="22"/>
          <w:shd w:val="clear" w:color="auto" w:fill="FFFFFF"/>
        </w:rPr>
        <w:t xml:space="preserve">"institui no calendário oficial do município a celebração da campanha 'Julho Verde' </w:t>
      </w:r>
      <w:r w:rsidRPr="007628F6">
        <w:rPr>
          <w:rFonts w:asciiTheme="minorHAnsi" w:hAnsiTheme="minorHAnsi" w:cstheme="minorHAnsi"/>
          <w:i/>
          <w:sz w:val="22"/>
          <w:szCs w:val="22"/>
          <w:shd w:val="clear" w:color="auto" w:fill="FFFFFF"/>
        </w:rPr>
        <w:t>e dá outras providências" –</w:t>
      </w:r>
      <w:r w:rsidRPr="007628F6">
        <w:rPr>
          <w:rFonts w:asciiTheme="minorHAnsi" w:hAnsiTheme="minorHAnsi" w:cstheme="minorHAnsi"/>
          <w:b/>
          <w:i/>
          <w:sz w:val="22"/>
          <w:szCs w:val="22"/>
          <w:shd w:val="clear" w:color="auto" w:fill="FFFFFF"/>
        </w:rPr>
        <w:t xml:space="preserve"> </w:t>
      </w:r>
      <w:r w:rsidRPr="007628F6">
        <w:rPr>
          <w:rFonts w:asciiTheme="minorHAnsi" w:hAnsiTheme="minorHAnsi" w:cstheme="minorHAnsi"/>
          <w:i/>
          <w:sz w:val="22"/>
          <w:szCs w:val="22"/>
          <w:u w:val="thick"/>
          <w:shd w:val="clear" w:color="auto" w:fill="FFFFFF"/>
        </w:rPr>
        <w:t>Lei que, ao instituir aludida data comemorativa, não trata de nenhuma das matérias de iniciativa legislativa exclusiva do Chefe do Poder Executivo, não viola o princípio da separação de poderes (ao instituir a data comemorativa),</w:t>
      </w:r>
      <w:r w:rsidRPr="007628F6">
        <w:rPr>
          <w:rFonts w:asciiTheme="minorHAnsi" w:hAnsiTheme="minorHAnsi" w:cstheme="minorHAnsi"/>
          <w:i/>
          <w:sz w:val="22"/>
          <w:szCs w:val="22"/>
          <w:shd w:val="clear" w:color="auto" w:fill="FFFFFF"/>
        </w:rPr>
        <w:t xml:space="preserve"> </w:t>
      </w:r>
      <w:r w:rsidRPr="007628F6">
        <w:rPr>
          <w:rFonts w:asciiTheme="minorHAnsi" w:hAnsiTheme="minorHAnsi" w:cstheme="minorHAnsi"/>
          <w:b/>
          <w:i/>
          <w:sz w:val="22"/>
          <w:szCs w:val="22"/>
          <w:shd w:val="clear" w:color="auto" w:fill="FFFFFF"/>
        </w:rPr>
        <w:t xml:space="preserve">mas invade a esfera da gestão administrativa, ao impor atribuições ao Poder Executivo, </w:t>
      </w:r>
      <w:r w:rsidRPr="007628F6">
        <w:rPr>
          <w:rFonts w:asciiTheme="minorHAnsi" w:hAnsiTheme="minorHAnsi" w:cstheme="minorHAnsi"/>
          <w:i/>
          <w:sz w:val="22"/>
          <w:szCs w:val="22"/>
          <w:shd w:val="clear" w:color="auto" w:fill="FFFFFF"/>
        </w:rPr>
        <w:t xml:space="preserve">em seu art. 2º, incisos I e II – Artigo 2º, incisos I e II da Lei 10.291/2020 que impõe ao Poder </w:t>
      </w:r>
      <w:r w:rsidRPr="007628F6">
        <w:rPr>
          <w:rFonts w:asciiTheme="minorHAnsi" w:hAnsiTheme="minorHAnsi" w:cstheme="minorHAnsi"/>
          <w:i/>
          <w:sz w:val="22"/>
          <w:szCs w:val="22"/>
          <w:shd w:val="clear" w:color="auto" w:fill="FFFFFF"/>
        </w:rPr>
        <w:t>Executivo a realização</w:t>
      </w:r>
      <w:r w:rsidRPr="007628F6">
        <w:rPr>
          <w:rFonts w:asciiTheme="minorHAnsi" w:hAnsiTheme="minorHAnsi" w:cstheme="minorHAnsi"/>
          <w:i/>
          <w:sz w:val="22"/>
          <w:szCs w:val="22"/>
          <w:shd w:val="clear" w:color="auto" w:fill="FFFFFF"/>
        </w:rPr>
        <w:t>, "durante o mês de julho de cada ano", "nas escolas públicas do Município", de "atividades e debates que terão como objetivo: I – conscientizar as crianças das necessidades de cuidados precoces e dos bons hábitos para evitar o câncer; II – promover diagnósticos e identificar dentre os alunos possíveis casos clínicos" –</w:t>
      </w:r>
      <w:r w:rsidRPr="007628F6">
        <w:rPr>
          <w:rFonts w:asciiTheme="minorHAnsi" w:hAnsiTheme="minorHAnsi" w:cstheme="minorHAnsi"/>
          <w:b/>
          <w:i/>
          <w:sz w:val="22"/>
          <w:szCs w:val="22"/>
          <w:shd w:val="clear" w:color="auto" w:fill="FFFFFF"/>
        </w:rPr>
        <w:t xml:space="preserve"> Dispositivos </w:t>
      </w:r>
      <w:r w:rsidRPr="007628F6">
        <w:rPr>
          <w:rFonts w:asciiTheme="minorHAnsi" w:hAnsiTheme="minorHAnsi" w:cstheme="minorHAnsi"/>
          <w:b/>
          <w:i/>
          <w:sz w:val="22"/>
          <w:szCs w:val="22"/>
          <w:shd w:val="clear" w:color="auto" w:fill="FFFFFF"/>
        </w:rPr>
        <w:t>que criam e disciplinam obrigações e tarefas para os órgãos do Poder Executivo, atos típicos de gestão administrativa, destinados à sua organização e funcionamento – Ofensa aos princípios da separação de poderes, de iniciativa e da reserva de administração (arts. 5º, caput, §§ 1º e 2º; 24, § 2º, "2"; 47, II, XI, XIV e XIX, "a", da Constituição do Estado, aplicáveis aos Municípios por força do art. 144 da mesma Carta) – Inconstitucionalidade configurada</w:t>
      </w:r>
      <w:r w:rsidRPr="007628F6">
        <w:rPr>
          <w:rFonts w:asciiTheme="minorHAnsi" w:hAnsiTheme="minorHAnsi" w:cstheme="minorHAnsi"/>
          <w:i/>
          <w:sz w:val="22"/>
          <w:szCs w:val="22"/>
          <w:shd w:val="clear" w:color="auto" w:fill="FFFFFF"/>
        </w:rPr>
        <w:t xml:space="preserve">. AÇÃO DIRETA DE INCONSTITUCIONALIDADE – Alegação de violação do artigo 25 da CE – Improcedência – Ausência de previsão de dotação orçamentária que não implica a existência de vício de inconstitucionalidade, mas apenas a inexequibilidade da lei no exercício orçamentário em que aprovada – Entendimento, pacífico, segundo o qual a falta de especificação da fonte de recursos pode resultar apenas a não </w:t>
      </w:r>
      <w:r w:rsidRPr="007628F6">
        <w:rPr>
          <w:rFonts w:asciiTheme="minorHAnsi" w:hAnsiTheme="minorHAnsi" w:cstheme="minorHAnsi"/>
          <w:i/>
          <w:sz w:val="22"/>
          <w:szCs w:val="22"/>
          <w:shd w:val="clear" w:color="auto" w:fill="FFFFFF"/>
        </w:rPr>
        <w:t>implementação</w:t>
      </w:r>
      <w:r w:rsidRPr="007628F6">
        <w:rPr>
          <w:rFonts w:asciiTheme="minorHAnsi" w:hAnsiTheme="minorHAnsi" w:cstheme="minorHAnsi"/>
          <w:i/>
          <w:sz w:val="22"/>
          <w:szCs w:val="22"/>
          <w:shd w:val="clear" w:color="auto" w:fill="FFFFFF"/>
        </w:rPr>
        <w:t xml:space="preserve"> da norma no mesmo exercício em que posta em vigor, mas desde logo providenciada sua inserção no orçamento do exercício seguinte – Inexistência de inconstitucionalidade nesse ponto. </w:t>
      </w:r>
      <w:r w:rsidRPr="007628F6">
        <w:rPr>
          <w:rFonts w:asciiTheme="minorHAnsi" w:hAnsiTheme="minorHAnsi" w:cstheme="minorHAnsi"/>
          <w:b/>
          <w:i/>
          <w:sz w:val="22"/>
          <w:szCs w:val="22"/>
          <w:shd w:val="clear" w:color="auto" w:fill="FFFFFF"/>
        </w:rPr>
        <w:t>Ação julgada parcialmente procedente.</w:t>
      </w:r>
    </w:p>
    <w:p w:rsidR="00A53F3E" w:rsidRPr="007628F6" w:rsidP="008A2A1B">
      <w:pPr>
        <w:pBdr>
          <w:bottom w:val="single" w:sz="12" w:space="1" w:color="auto"/>
        </w:pBdr>
        <w:spacing w:after="120" w:line="240" w:lineRule="auto"/>
        <w:ind w:left="2268"/>
        <w:jc w:val="both"/>
        <w:rPr>
          <w:rFonts w:asciiTheme="minorHAnsi" w:hAnsiTheme="minorHAnsi" w:cstheme="minorHAnsi"/>
          <w:i/>
          <w:sz w:val="22"/>
          <w:szCs w:val="22"/>
          <w:shd w:val="clear" w:color="auto" w:fill="FFFFFF"/>
        </w:rPr>
      </w:pPr>
      <w:r w:rsidRPr="007628F6">
        <w:rPr>
          <w:rFonts w:asciiTheme="minorHAnsi" w:hAnsiTheme="minorHAnsi" w:cstheme="minorHAnsi"/>
          <w:i/>
          <w:sz w:val="22"/>
          <w:szCs w:val="22"/>
          <w:shd w:val="clear" w:color="auto" w:fill="FFFFFF"/>
        </w:rPr>
        <w:t>(TJSP;</w:t>
      </w:r>
      <w:r w:rsidRPr="007628F6">
        <w:rPr>
          <w:rFonts w:asciiTheme="minorHAnsi" w:hAnsiTheme="minorHAnsi" w:cstheme="minorHAnsi"/>
          <w:i/>
          <w:sz w:val="22"/>
          <w:szCs w:val="22"/>
          <w:shd w:val="clear" w:color="auto" w:fill="FFFFFF"/>
        </w:rPr>
        <w:t xml:space="preserve">  </w:t>
      </w:r>
      <w:r w:rsidRPr="007628F6">
        <w:rPr>
          <w:rFonts w:asciiTheme="minorHAnsi" w:hAnsiTheme="minorHAnsi" w:cstheme="minorHAnsi"/>
          <w:i/>
          <w:sz w:val="22"/>
          <w:szCs w:val="22"/>
          <w:shd w:val="clear" w:color="auto" w:fill="FFFFFF"/>
        </w:rPr>
        <w:t xml:space="preserve">Direta de Inconstitucionalidade 2216625-96.2020.8.26.0000; Relator (a): João Carlos </w:t>
      </w:r>
      <w:r w:rsidRPr="007628F6">
        <w:rPr>
          <w:rFonts w:asciiTheme="minorHAnsi" w:hAnsiTheme="minorHAnsi" w:cstheme="minorHAnsi"/>
          <w:i/>
          <w:sz w:val="22"/>
          <w:szCs w:val="22"/>
          <w:shd w:val="clear" w:color="auto" w:fill="FFFFFF"/>
        </w:rPr>
        <w:t>Saletti</w:t>
      </w:r>
      <w:r w:rsidRPr="007628F6">
        <w:rPr>
          <w:rFonts w:asciiTheme="minorHAnsi" w:hAnsiTheme="minorHAnsi" w:cstheme="minorHAnsi"/>
          <w:i/>
          <w:sz w:val="22"/>
          <w:szCs w:val="22"/>
          <w:shd w:val="clear" w:color="auto" w:fill="FFFFFF"/>
        </w:rPr>
        <w:t>; Órgão Julgador: Órgão Especial; Tribunal de Justiça de São Paulo - N/A; Data do Julgamento: 29/09/2021; Data de Registro: 07/10/2021)</w:t>
      </w:r>
    </w:p>
    <w:p w:rsidR="00A53F3E" w:rsidRPr="007628F6" w:rsidP="00A53F3E">
      <w:pPr>
        <w:spacing w:after="120"/>
        <w:ind w:left="2268"/>
        <w:jc w:val="both"/>
        <w:rPr>
          <w:rFonts w:asciiTheme="minorHAnsi" w:hAnsiTheme="minorHAnsi" w:cstheme="minorHAnsi"/>
          <w:i/>
          <w:sz w:val="22"/>
          <w:szCs w:val="22"/>
          <w:shd w:val="clear" w:color="auto" w:fill="FFFFFF"/>
        </w:rPr>
      </w:pPr>
    </w:p>
    <w:p w:rsidR="00CA0157" w:rsidRPr="007628F6" w:rsidP="00A53F3E">
      <w:pPr>
        <w:spacing w:after="120"/>
        <w:ind w:left="2268"/>
        <w:jc w:val="both"/>
        <w:rPr>
          <w:rFonts w:asciiTheme="minorHAnsi" w:hAnsiTheme="minorHAnsi" w:cstheme="minorHAnsi"/>
          <w:i/>
          <w:sz w:val="22"/>
          <w:szCs w:val="22"/>
          <w:shd w:val="clear" w:color="auto" w:fill="FFFFFF"/>
        </w:rPr>
      </w:pPr>
      <w:r w:rsidRPr="007628F6">
        <w:rPr>
          <w:rFonts w:asciiTheme="minorHAnsi" w:hAnsiTheme="minorHAnsi" w:cstheme="minorHAnsi"/>
          <w:i/>
          <w:sz w:val="22"/>
          <w:szCs w:val="22"/>
          <w:shd w:val="clear" w:color="auto" w:fill="FFFFFF"/>
        </w:rPr>
        <w:t xml:space="preserve">Ação direta de inconstitucionalidade. Lei n. 12.057/19, do Município de Sorocaba, </w:t>
      </w:r>
      <w:r w:rsidRPr="007628F6">
        <w:rPr>
          <w:rFonts w:asciiTheme="minorHAnsi" w:hAnsiTheme="minorHAnsi" w:cstheme="minorHAnsi"/>
          <w:b/>
          <w:i/>
          <w:sz w:val="22"/>
          <w:szCs w:val="22"/>
          <w:shd w:val="clear" w:color="auto" w:fill="FFFFFF"/>
        </w:rPr>
        <w:t>de iniciativa parlamentar, que cria campanha local de enfrentamento ao assédio e violência sexual.</w:t>
      </w:r>
      <w:r w:rsidRPr="007628F6">
        <w:rPr>
          <w:rFonts w:asciiTheme="minorHAnsi" w:hAnsiTheme="minorHAnsi" w:cstheme="minorHAnsi"/>
          <w:i/>
          <w:sz w:val="22"/>
          <w:szCs w:val="22"/>
          <w:shd w:val="clear" w:color="auto" w:fill="FFFFFF"/>
        </w:rPr>
        <w:t xml:space="preserve"> </w:t>
      </w:r>
      <w:r w:rsidRPr="007628F6">
        <w:rPr>
          <w:rFonts w:asciiTheme="minorHAnsi" w:hAnsiTheme="minorHAnsi" w:cstheme="minorHAnsi"/>
          <w:b/>
          <w:i/>
          <w:sz w:val="22"/>
          <w:szCs w:val="22"/>
          <w:shd w:val="clear" w:color="auto" w:fill="FFFFFF"/>
        </w:rPr>
        <w:t>Imposição, porém, para a campanha, de providências como o treinamento de servidores, divulgação em espaços públicos</w:t>
      </w:r>
      <w:r w:rsidRPr="007628F6">
        <w:rPr>
          <w:rFonts w:asciiTheme="minorHAnsi" w:hAnsiTheme="minorHAnsi" w:cstheme="minorHAnsi"/>
          <w:i/>
          <w:sz w:val="22"/>
          <w:szCs w:val="22"/>
          <w:shd w:val="clear" w:color="auto" w:fill="FFFFFF"/>
        </w:rPr>
        <w:t xml:space="preserve">, contas de serviço e cartazes em ônibus, além de impor parcerias. Ausência de vício de iniciativa no estabelecimento em si do que é real política pública, mas </w:t>
      </w:r>
      <w:r w:rsidRPr="007628F6">
        <w:rPr>
          <w:rFonts w:asciiTheme="minorHAnsi" w:hAnsiTheme="minorHAnsi" w:cstheme="minorHAnsi"/>
          <w:b/>
          <w:i/>
          <w:sz w:val="22"/>
          <w:szCs w:val="22"/>
          <w:shd w:val="clear" w:color="auto" w:fill="FFFFFF"/>
        </w:rPr>
        <w:t xml:space="preserve">afronta à reserva da administração quando se estabelecem as ações de </w:t>
      </w:r>
      <w:r w:rsidRPr="007628F6">
        <w:rPr>
          <w:rFonts w:asciiTheme="minorHAnsi" w:hAnsiTheme="minorHAnsi" w:cstheme="minorHAnsi"/>
          <w:b/>
          <w:i/>
          <w:sz w:val="22"/>
          <w:szCs w:val="22"/>
          <w:shd w:val="clear" w:color="auto" w:fill="FFFFFF"/>
        </w:rPr>
        <w:t>implementação</w:t>
      </w:r>
      <w:r w:rsidRPr="007628F6">
        <w:rPr>
          <w:rFonts w:asciiTheme="minorHAnsi" w:hAnsiTheme="minorHAnsi" w:cstheme="minorHAnsi"/>
          <w:b/>
          <w:i/>
          <w:sz w:val="22"/>
          <w:szCs w:val="22"/>
          <w:shd w:val="clear" w:color="auto" w:fill="FFFFFF"/>
        </w:rPr>
        <w:t xml:space="preserve"> da campanha. Artigos 4º, 5º e 6º da Lei n. 12.057/19 considerados inconstitucionais</w:t>
      </w:r>
      <w:r w:rsidRPr="007628F6">
        <w:rPr>
          <w:rFonts w:asciiTheme="minorHAnsi" w:hAnsiTheme="minorHAnsi" w:cstheme="minorHAnsi"/>
          <w:i/>
          <w:sz w:val="22"/>
          <w:szCs w:val="22"/>
          <w:shd w:val="clear" w:color="auto" w:fill="FFFFFF"/>
        </w:rPr>
        <w:t>. Ação julgada parcialmente procedente. </w:t>
      </w:r>
    </w:p>
    <w:p w:rsidR="00A53F3E" w:rsidRPr="007628F6" w:rsidP="008A2A1B">
      <w:pPr>
        <w:spacing w:after="120" w:line="240" w:lineRule="auto"/>
        <w:ind w:left="2268"/>
        <w:jc w:val="both"/>
        <w:rPr>
          <w:rFonts w:asciiTheme="minorHAnsi" w:hAnsiTheme="minorHAnsi" w:cstheme="minorHAnsi"/>
          <w:i/>
          <w:sz w:val="22"/>
          <w:szCs w:val="22"/>
          <w:shd w:val="clear" w:color="auto" w:fill="FFFFFF"/>
        </w:rPr>
      </w:pPr>
      <w:r w:rsidRPr="007628F6">
        <w:rPr>
          <w:rFonts w:asciiTheme="minorHAnsi" w:hAnsiTheme="minorHAnsi" w:cstheme="minorHAnsi"/>
          <w:i/>
          <w:sz w:val="22"/>
          <w:szCs w:val="22"/>
          <w:shd w:val="clear" w:color="auto" w:fill="FFFFFF"/>
        </w:rPr>
        <w:t>(TJSP;</w:t>
      </w:r>
      <w:r w:rsidRPr="007628F6">
        <w:rPr>
          <w:rFonts w:asciiTheme="minorHAnsi" w:hAnsiTheme="minorHAnsi" w:cstheme="minorHAnsi"/>
          <w:i/>
          <w:sz w:val="22"/>
          <w:szCs w:val="22"/>
          <w:shd w:val="clear" w:color="auto" w:fill="FFFFFF"/>
        </w:rPr>
        <w:t xml:space="preserve">  </w:t>
      </w:r>
      <w:r w:rsidRPr="007628F6">
        <w:rPr>
          <w:rFonts w:asciiTheme="minorHAnsi" w:hAnsiTheme="minorHAnsi" w:cstheme="minorHAnsi"/>
          <w:i/>
          <w:sz w:val="22"/>
          <w:szCs w:val="22"/>
          <w:shd w:val="clear" w:color="auto" w:fill="FFFFFF"/>
        </w:rPr>
        <w:t>Direta de Inconstitucionalidade 2083729-89.2020.8.26.0000; Relator (a): Claudio Godoy; Órgão Julgador: Órgão Especial; Tribunal de Justiça de São Paulo - N/A; Data do Julgamento: 14/07/2021; Data de Registro: 15/07/2021)</w:t>
      </w:r>
    </w:p>
    <w:p w:rsidR="00230290" w:rsidRPr="003A7521" w:rsidP="00230290">
      <w:pPr>
        <w:spacing w:after="120" w:line="360" w:lineRule="auto"/>
        <w:ind w:firstLine="1701"/>
        <w:jc w:val="both"/>
        <w:rPr>
          <w:rFonts w:ascii="Calibri" w:hAnsi="Calibri" w:cs="Calibri"/>
        </w:rPr>
      </w:pPr>
      <w:r w:rsidRPr="003A7521">
        <w:rPr>
          <w:rFonts w:ascii="Calibri" w:hAnsi="Calibri" w:cs="Calibr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230290" w:rsidRPr="003A7521" w:rsidP="00230290">
      <w:pPr>
        <w:autoSpaceDE w:val="0"/>
        <w:autoSpaceDN w:val="0"/>
        <w:adjustRightInd w:val="0"/>
        <w:spacing w:after="240" w:line="360" w:lineRule="auto"/>
        <w:ind w:firstLine="1701"/>
        <w:jc w:val="both"/>
        <w:rPr>
          <w:rFonts w:ascii="Calibri" w:eastAsia="Calibri" w:hAnsi="Calibri" w:cs="Calibri"/>
          <w:szCs w:val="24"/>
        </w:rPr>
      </w:pPr>
      <w:r w:rsidRPr="003A7521">
        <w:rPr>
          <w:rFonts w:ascii="Calibri" w:eastAsia="Calibri" w:hAnsi="Calibri" w:cs="Calibri"/>
          <w:szCs w:val="24"/>
        </w:rPr>
        <w:t xml:space="preserve">Ante todo o exposto, </w:t>
      </w:r>
      <w:r w:rsidR="00A53F3E">
        <w:rPr>
          <w:rFonts w:ascii="Calibri" w:eastAsia="Calibri" w:hAnsi="Calibri" w:cs="Calibri"/>
          <w:szCs w:val="24"/>
        </w:rPr>
        <w:t>opinamos pela</w:t>
      </w:r>
      <w:r w:rsidRPr="003A7521">
        <w:rPr>
          <w:rFonts w:ascii="Calibri" w:eastAsia="Calibri" w:hAnsi="Calibri" w:cs="Calibri"/>
          <w:szCs w:val="24"/>
        </w:rPr>
        <w:t xml:space="preserve"> constitucionalidade e legalidade</w:t>
      </w:r>
      <w:r w:rsidR="008A2A1B">
        <w:rPr>
          <w:rFonts w:ascii="Calibri" w:eastAsia="Calibri" w:hAnsi="Calibri" w:cs="Calibri"/>
          <w:szCs w:val="24"/>
        </w:rPr>
        <w:t xml:space="preserve"> do projeto</w:t>
      </w:r>
      <w:r w:rsidRPr="007628F6">
        <w:rPr>
          <w:rFonts w:ascii="Calibri" w:eastAsia="Calibri" w:hAnsi="Calibri" w:cs="Calibri"/>
          <w:szCs w:val="24"/>
        </w:rPr>
        <w:t xml:space="preserve">, </w:t>
      </w:r>
      <w:r w:rsidRPr="007628F6" w:rsidR="008A2A1B">
        <w:rPr>
          <w:rFonts w:ascii="Calibri" w:eastAsia="Calibri" w:hAnsi="Calibri" w:cs="Calibri"/>
          <w:szCs w:val="24"/>
          <w:u w:val="single"/>
        </w:rPr>
        <w:t>com exceção do</w:t>
      </w:r>
      <w:r w:rsidRPr="007628F6" w:rsidR="00E05F3C">
        <w:rPr>
          <w:rFonts w:ascii="Calibri" w:eastAsia="Calibri" w:hAnsi="Calibri" w:cs="Calibri"/>
          <w:szCs w:val="24"/>
          <w:u w:val="single"/>
        </w:rPr>
        <w:t xml:space="preserve"> “</w:t>
      </w:r>
      <w:r w:rsidRPr="007628F6" w:rsidR="00E05F3C">
        <w:rPr>
          <w:rFonts w:ascii="Calibri" w:eastAsia="Calibri" w:hAnsi="Calibri" w:cs="Calibri"/>
          <w:i/>
          <w:szCs w:val="24"/>
          <w:u w:val="single"/>
        </w:rPr>
        <w:t xml:space="preserve">caput” </w:t>
      </w:r>
      <w:r w:rsidRPr="007628F6" w:rsidR="00E05F3C">
        <w:rPr>
          <w:rFonts w:ascii="Calibri" w:eastAsia="Calibri" w:hAnsi="Calibri" w:cs="Calibri"/>
          <w:szCs w:val="24"/>
          <w:u w:val="single"/>
        </w:rPr>
        <w:t>do</w:t>
      </w:r>
      <w:r w:rsidRPr="007628F6" w:rsidR="008A2A1B">
        <w:rPr>
          <w:rFonts w:ascii="Calibri" w:eastAsia="Calibri" w:hAnsi="Calibri" w:cs="Calibri"/>
          <w:szCs w:val="24"/>
          <w:u w:val="single"/>
        </w:rPr>
        <w:t xml:space="preserve"> </w:t>
      </w:r>
      <w:r w:rsidRPr="007628F6">
        <w:rPr>
          <w:rFonts w:ascii="Calibri" w:eastAsia="Calibri" w:hAnsi="Calibri" w:cs="Calibri"/>
          <w:szCs w:val="24"/>
          <w:u w:val="single"/>
        </w:rPr>
        <w:t xml:space="preserve">art. </w:t>
      </w:r>
      <w:r w:rsidRPr="007628F6" w:rsidR="00E05F3C">
        <w:rPr>
          <w:rFonts w:ascii="Calibri" w:eastAsia="Calibri" w:hAnsi="Calibri" w:cs="Calibri"/>
          <w:szCs w:val="24"/>
          <w:u w:val="single"/>
        </w:rPr>
        <w:t>5</w:t>
      </w:r>
      <w:bookmarkStart w:id="4" w:name="_GoBack"/>
      <w:bookmarkEnd w:id="4"/>
      <w:r w:rsidRPr="007628F6" w:rsidR="006930B5">
        <w:rPr>
          <w:rFonts w:ascii="Calibri" w:eastAsia="Calibri" w:hAnsi="Calibri" w:cs="Calibri"/>
          <w:szCs w:val="24"/>
          <w:u w:val="single"/>
        </w:rPr>
        <w:t>º</w:t>
      </w:r>
      <w:r w:rsidRPr="007628F6" w:rsidR="003D7230">
        <w:rPr>
          <w:rFonts w:ascii="Calibri" w:eastAsia="Calibri" w:hAnsi="Calibri" w:cs="Calibri"/>
          <w:szCs w:val="24"/>
          <w:u w:val="single"/>
        </w:rPr>
        <w:t xml:space="preserve">, </w:t>
      </w:r>
      <w:r w:rsidRPr="007628F6" w:rsidR="007628F6">
        <w:rPr>
          <w:rFonts w:ascii="Calibri" w:eastAsia="Calibri" w:hAnsi="Calibri" w:cs="Calibri"/>
          <w:szCs w:val="24"/>
          <w:u w:val="single"/>
        </w:rPr>
        <w:t>com fulcro em precedentes da</w:t>
      </w:r>
      <w:r w:rsidRPr="007628F6" w:rsidR="003D7230">
        <w:rPr>
          <w:rFonts w:ascii="Calibri" w:eastAsia="Calibri" w:hAnsi="Calibri" w:cs="Calibri"/>
          <w:szCs w:val="24"/>
          <w:u w:val="single"/>
        </w:rPr>
        <w:t xml:space="preserve"> Corte Paulista</w:t>
      </w:r>
      <w:r w:rsidRPr="007628F6">
        <w:rPr>
          <w:rFonts w:ascii="Calibri" w:eastAsia="Calibri" w:hAnsi="Calibri" w:cs="Calibri"/>
          <w:szCs w:val="24"/>
          <w:u w:val="single"/>
        </w:rPr>
        <w:t>.</w:t>
      </w:r>
      <w:r w:rsidRPr="007628F6" w:rsidR="006930B5">
        <w:rPr>
          <w:rFonts w:ascii="Calibri" w:eastAsia="Calibri" w:hAnsi="Calibri" w:cs="Calibri"/>
          <w:szCs w:val="24"/>
          <w:u w:val="single"/>
        </w:rPr>
        <w:t xml:space="preserve"> </w:t>
      </w:r>
      <w:r w:rsidRPr="007628F6">
        <w:rPr>
          <w:rFonts w:ascii="Calibri" w:eastAsia="Calibri" w:hAnsi="Calibri" w:cs="Calibri"/>
          <w:szCs w:val="24"/>
        </w:rPr>
        <w:t>Sob</w:t>
      </w:r>
      <w:r w:rsidRPr="003A7521">
        <w:rPr>
          <w:rFonts w:ascii="Calibri" w:eastAsia="Calibri" w:hAnsi="Calibri" w:cs="Calibri"/>
          <w:szCs w:val="24"/>
        </w:rPr>
        <w:t>re o mérito, manifestar-se-á o soberano Plenário.</w:t>
      </w:r>
    </w:p>
    <w:p w:rsidR="00230290" w:rsidRPr="003A7521" w:rsidP="00230290">
      <w:pPr>
        <w:pStyle w:val="BodyText"/>
        <w:spacing w:after="240" w:line="360" w:lineRule="auto"/>
        <w:ind w:firstLine="1701"/>
        <w:jc w:val="both"/>
        <w:rPr>
          <w:rFonts w:ascii="Calibri" w:hAnsi="Calibri" w:cs="Calibri"/>
          <w:szCs w:val="24"/>
        </w:rPr>
      </w:pPr>
      <w:r>
        <w:rPr>
          <w:rFonts w:ascii="Calibri" w:hAnsi="Calibri" w:cs="Calibri"/>
          <w:szCs w:val="24"/>
        </w:rPr>
        <w:t>É o parecer, a superior consideração.</w:t>
      </w:r>
    </w:p>
    <w:p w:rsidR="00230290" w:rsidRPr="003A7521" w:rsidP="00230290">
      <w:pPr>
        <w:autoSpaceDE w:val="0"/>
        <w:autoSpaceDN w:val="0"/>
        <w:adjustRightInd w:val="0"/>
        <w:spacing w:after="240" w:line="360" w:lineRule="auto"/>
        <w:ind w:firstLine="1701"/>
        <w:jc w:val="both"/>
        <w:rPr>
          <w:rFonts w:ascii="Calibri" w:hAnsi="Calibri" w:cs="Calibri"/>
          <w:b/>
          <w:szCs w:val="24"/>
        </w:rPr>
      </w:pPr>
      <w:r w:rsidRPr="003A7521">
        <w:rPr>
          <w:rFonts w:ascii="Calibri" w:hAnsi="Calibri" w:cs="Calibri"/>
          <w:szCs w:val="24"/>
        </w:rPr>
        <w:t>Procuradoria</w:t>
      </w:r>
      <w:r>
        <w:rPr>
          <w:rFonts w:ascii="Calibri" w:hAnsi="Calibri" w:cs="Calibri"/>
          <w:szCs w:val="24"/>
        </w:rPr>
        <w:t>,</w:t>
      </w:r>
      <w:r w:rsidR="00395D8C">
        <w:rPr>
          <w:rFonts w:ascii="Calibri" w:hAnsi="Calibri" w:cs="Calibri"/>
          <w:szCs w:val="24"/>
        </w:rPr>
        <w:t xml:space="preserve"> </w:t>
      </w:r>
      <w:r w:rsidR="00A53F3E">
        <w:rPr>
          <w:rFonts w:ascii="Calibri" w:hAnsi="Calibri" w:cs="Calibri"/>
          <w:szCs w:val="24"/>
        </w:rPr>
        <w:t>01</w:t>
      </w:r>
      <w:r w:rsidRPr="003A7521">
        <w:rPr>
          <w:rFonts w:ascii="Calibri" w:hAnsi="Calibri" w:cs="Calibri"/>
          <w:szCs w:val="24"/>
        </w:rPr>
        <w:t xml:space="preserve"> de </w:t>
      </w:r>
      <w:r w:rsidR="00A53F3E">
        <w:rPr>
          <w:rFonts w:ascii="Calibri" w:hAnsi="Calibri" w:cs="Calibri"/>
          <w:szCs w:val="24"/>
        </w:rPr>
        <w:t>julho</w:t>
      </w:r>
      <w:r w:rsidRPr="003A7521">
        <w:rPr>
          <w:rFonts w:ascii="Calibri" w:hAnsi="Calibri" w:cs="Calibri"/>
          <w:szCs w:val="24"/>
        </w:rPr>
        <w:t xml:space="preserve"> de 202</w:t>
      </w:r>
      <w:r w:rsidR="006930B5">
        <w:rPr>
          <w:rFonts w:ascii="Calibri" w:hAnsi="Calibri" w:cs="Calibri"/>
          <w:szCs w:val="24"/>
        </w:rPr>
        <w:t>2</w:t>
      </w:r>
      <w:r w:rsidRPr="003A7521">
        <w:rPr>
          <w:rFonts w:ascii="Calibri" w:hAnsi="Calibri" w:cs="Calibri"/>
          <w:szCs w:val="24"/>
        </w:rPr>
        <w:t>.</w:t>
      </w:r>
    </w:p>
    <w:p w:rsidR="003D7230" w:rsidRPr="003A7521" w:rsidP="00230290">
      <w:pPr>
        <w:pStyle w:val="BodyText"/>
        <w:tabs>
          <w:tab w:val="left" w:pos="5625"/>
        </w:tabs>
        <w:spacing w:before="240" w:after="240" w:line="360" w:lineRule="auto"/>
        <w:jc w:val="both"/>
        <w:rPr>
          <w:rFonts w:ascii="Calibri" w:hAnsi="Calibri" w:cs="Calibri"/>
          <w:szCs w:val="24"/>
        </w:rPr>
      </w:pPr>
    </w:p>
    <w:p w:rsidR="00230290" w:rsidRPr="003A7521" w:rsidP="00230290">
      <w:pPr>
        <w:pStyle w:val="BodyText"/>
        <w:spacing w:after="0"/>
        <w:jc w:val="center"/>
        <w:rPr>
          <w:rFonts w:ascii="Calibri" w:hAnsi="Calibri" w:cs="Calibri"/>
          <w:b/>
          <w:szCs w:val="24"/>
        </w:rPr>
      </w:pPr>
      <w:r>
        <w:rPr>
          <w:rFonts w:ascii="Calibri" w:hAnsi="Calibri" w:cs="Calibri"/>
          <w:b/>
          <w:szCs w:val="24"/>
        </w:rPr>
        <w:t>Rosemeire de Souza Cardoso Barbosa</w:t>
      </w:r>
    </w:p>
    <w:p w:rsidR="00252ADC" w:rsidP="00564577">
      <w:pPr>
        <w:pStyle w:val="BodyText"/>
        <w:spacing w:after="0"/>
        <w:jc w:val="center"/>
        <w:rPr>
          <w:rFonts w:ascii="Calibri" w:hAnsi="Calibri" w:cs="Calibri"/>
          <w:b/>
          <w:szCs w:val="24"/>
        </w:rPr>
      </w:pPr>
      <w:r w:rsidRPr="003A7521">
        <w:rPr>
          <w:rFonts w:ascii="Calibri" w:hAnsi="Calibri" w:cs="Calibri"/>
          <w:b/>
          <w:szCs w:val="24"/>
        </w:rPr>
        <w:t>Procurador</w:t>
      </w:r>
      <w:r w:rsidR="006930B5">
        <w:rPr>
          <w:rFonts w:ascii="Calibri" w:hAnsi="Calibri" w:cs="Calibri"/>
          <w:b/>
          <w:szCs w:val="24"/>
        </w:rPr>
        <w:t>a - OAB/SP 308.298</w:t>
      </w:r>
    </w:p>
    <w:p w:rsidR="00A53F3E" w:rsidRPr="00A53F3E" w:rsidP="00564577">
      <w:pPr>
        <w:pStyle w:val="BodyText"/>
        <w:spacing w:after="0"/>
        <w:jc w:val="center"/>
      </w:pPr>
      <w:r>
        <w:rPr>
          <w:rFonts w:ascii="Calibri" w:hAnsi="Calibri" w:cs="Calibri"/>
          <w:szCs w:val="24"/>
        </w:rPr>
        <w:t>Assinatura Eletrônica</w:t>
      </w:r>
    </w:p>
    <w:sectPr w:rsidSect="00564577">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53F3E" w:rsidP="00B73ABA">
            <w:pPr>
              <w:pStyle w:val="Footer"/>
              <w:jc w:val="right"/>
              <w:rPr>
                <w:sz w:val="18"/>
                <w:lang w:val="pt-PT"/>
              </w:rPr>
            </w:pPr>
          </w:p>
          <w:p w:rsidR="00A53F3E" w:rsidP="000F6284">
            <w:pPr>
              <w:pStyle w:val="Footer"/>
              <w:ind w:right="-313"/>
              <w:jc w:val="center"/>
              <w:rPr>
                <w:sz w:val="18"/>
                <w:lang w:val="pt-PT"/>
              </w:rPr>
            </w:pPr>
            <w:r>
              <w:rPr>
                <w:sz w:val="18"/>
                <w:lang w:val="pt-PT"/>
              </w:rPr>
              <w:t>________________________________________________________________________________________</w:t>
            </w:r>
          </w:p>
          <w:p w:rsidR="00A53F3E" w:rsidP="000F6284">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A53F3E"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53F3E" w:rsidP="000F6284">
            <w:pPr>
              <w:pStyle w:val="Footer"/>
              <w:ind w:left="-1985" w:right="-313"/>
              <w:jc w:val="center"/>
            </w:pPr>
          </w:p>
          <w:p w:rsidR="00A53F3E"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7628F6">
              <w:rPr>
                <w:b/>
                <w:bCs/>
                <w:noProof/>
                <w:sz w:val="18"/>
                <w:szCs w:val="18"/>
              </w:rPr>
              <w:t>11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7628F6">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3F3E">
      <w:pPr>
        <w:spacing w:after="0" w:line="240" w:lineRule="auto"/>
      </w:pPr>
      <w:r>
        <w:separator/>
      </w:r>
    </w:p>
  </w:footnote>
  <w:footnote w:type="continuationSeparator" w:id="1">
    <w:p w:rsidR="00A53F3E">
      <w:pPr>
        <w:spacing w:after="0" w:line="240" w:lineRule="auto"/>
      </w:pPr>
      <w:r>
        <w:continuationSeparator/>
      </w:r>
    </w:p>
  </w:footnote>
  <w:footnote w:id="2">
    <w:p w:rsidR="00A53F3E" w:rsidP="00A53F3E">
      <w:pPr>
        <w:pStyle w:val="FootnoteText"/>
      </w:pPr>
      <w:r>
        <w:rPr>
          <w:rStyle w:val="FootnoteReference"/>
        </w:rPr>
        <w:footnoteRef/>
      </w:r>
      <w:r>
        <w:t xml:space="preserve"> </w:t>
      </w:r>
      <w:r w:rsidRPr="00256992">
        <w:t xml:space="preserve">Disponível em: </w:t>
      </w:r>
      <w:hyperlink r:id="rId1" w:history="1">
        <w:r w:rsidRPr="00256992">
          <w:rPr>
            <w:rStyle w:val="Hyperlink"/>
          </w:rPr>
          <w:t>https://www.emagis.com.br/area-gratuita/que-negocio-e-esse/reserva-geral-de-administracao-versus-reserva-especifica-de-administracao/</w:t>
        </w:r>
      </w:hyperlink>
      <w:r>
        <w:t>. Acesso em: 09/12</w:t>
      </w:r>
      <w:r w:rsidRPr="00256992">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3F3E" w:rsidP="000F6284">
    <w:pPr>
      <w:pStyle w:val="Header"/>
      <w:jc w:val="center"/>
      <w:rPr>
        <w:b/>
        <w:sz w:val="26"/>
        <w:lang w:val="pt-PT"/>
      </w:rPr>
    </w:pPr>
  </w:p>
  <w:p w:rsidR="00A53F3E"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3F3E" w:rsidP="000F6284">
                          <w:r>
                            <w:rPr>
                              <w:noProof/>
                            </w:rPr>
                            <w:drawing>
                              <wp:inline distT="0" distB="0" distL="0" distR="0">
                                <wp:extent cx="876300" cy="850900"/>
                                <wp:effectExtent l="19050" t="0" r="0" b="0"/>
                                <wp:docPr id="196931452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3246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845570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53F3E"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83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8194261" r:id="rId4"/>
                    </w:object>
                  </w:p>
                </w:txbxContent>
              </v:textbox>
              <w10:wrap type="square"/>
            </v:shape>
          </w:pict>
        </mc:Fallback>
      </mc:AlternateContent>
    </w:r>
  </w:p>
  <w:p w:rsidR="00A53F3E" w:rsidP="000F6284">
    <w:pPr>
      <w:pStyle w:val="Header"/>
      <w:jc w:val="center"/>
      <w:rPr>
        <w:b/>
        <w:sz w:val="28"/>
        <w:lang w:val="pt-PT"/>
      </w:rPr>
    </w:pPr>
    <w:r>
      <w:rPr>
        <w:b/>
        <w:sz w:val="28"/>
        <w:lang w:val="pt-PT"/>
      </w:rPr>
      <w:t>CÂMARA MUNICIPAL DE VALINHOS</w:t>
    </w:r>
  </w:p>
  <w:p w:rsidR="00A53F3E"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31E27"/>
    <w:rsid w:val="00060CA0"/>
    <w:rsid w:val="000724D1"/>
    <w:rsid w:val="00072745"/>
    <w:rsid w:val="00083EDA"/>
    <w:rsid w:val="00087763"/>
    <w:rsid w:val="00094FC8"/>
    <w:rsid w:val="000A7037"/>
    <w:rsid w:val="000B4ADE"/>
    <w:rsid w:val="000C08B8"/>
    <w:rsid w:val="000C1D38"/>
    <w:rsid w:val="000C3EF3"/>
    <w:rsid w:val="000C5FC0"/>
    <w:rsid w:val="000E086D"/>
    <w:rsid w:val="000F6284"/>
    <w:rsid w:val="00117687"/>
    <w:rsid w:val="0013060F"/>
    <w:rsid w:val="00132824"/>
    <w:rsid w:val="00141BA0"/>
    <w:rsid w:val="001420FA"/>
    <w:rsid w:val="0014270F"/>
    <w:rsid w:val="00146CE5"/>
    <w:rsid w:val="00152692"/>
    <w:rsid w:val="00174657"/>
    <w:rsid w:val="001C4D63"/>
    <w:rsid w:val="0022477A"/>
    <w:rsid w:val="002268B5"/>
    <w:rsid w:val="00230290"/>
    <w:rsid w:val="002324DA"/>
    <w:rsid w:val="002433C5"/>
    <w:rsid w:val="00252ADC"/>
    <w:rsid w:val="00256992"/>
    <w:rsid w:val="00261689"/>
    <w:rsid w:val="0026654A"/>
    <w:rsid w:val="00267382"/>
    <w:rsid w:val="00282C13"/>
    <w:rsid w:val="00287DF9"/>
    <w:rsid w:val="0029011B"/>
    <w:rsid w:val="002907F1"/>
    <w:rsid w:val="002B15C8"/>
    <w:rsid w:val="002B1985"/>
    <w:rsid w:val="002B6D16"/>
    <w:rsid w:val="002C2449"/>
    <w:rsid w:val="002C514C"/>
    <w:rsid w:val="002C7E9A"/>
    <w:rsid w:val="002D0737"/>
    <w:rsid w:val="002E0808"/>
    <w:rsid w:val="002E0E58"/>
    <w:rsid w:val="002E5E66"/>
    <w:rsid w:val="002F31F1"/>
    <w:rsid w:val="002F6340"/>
    <w:rsid w:val="00304A13"/>
    <w:rsid w:val="00304D47"/>
    <w:rsid w:val="00315DC3"/>
    <w:rsid w:val="00324DAA"/>
    <w:rsid w:val="0036016D"/>
    <w:rsid w:val="00365F07"/>
    <w:rsid w:val="003774B8"/>
    <w:rsid w:val="0038135B"/>
    <w:rsid w:val="0039289D"/>
    <w:rsid w:val="00395D8C"/>
    <w:rsid w:val="003A2C23"/>
    <w:rsid w:val="003A7521"/>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15659"/>
    <w:rsid w:val="00421304"/>
    <w:rsid w:val="0042268E"/>
    <w:rsid w:val="00442AE0"/>
    <w:rsid w:val="00445AFC"/>
    <w:rsid w:val="00450D7D"/>
    <w:rsid w:val="00483A4D"/>
    <w:rsid w:val="00484EF7"/>
    <w:rsid w:val="00494E9F"/>
    <w:rsid w:val="00497A57"/>
    <w:rsid w:val="004A1DBC"/>
    <w:rsid w:val="004B170A"/>
    <w:rsid w:val="004B1CA3"/>
    <w:rsid w:val="004D3AA4"/>
    <w:rsid w:val="004F1E85"/>
    <w:rsid w:val="004F2F14"/>
    <w:rsid w:val="00515A76"/>
    <w:rsid w:val="00516A25"/>
    <w:rsid w:val="00521E8D"/>
    <w:rsid w:val="00526E32"/>
    <w:rsid w:val="00526FB6"/>
    <w:rsid w:val="00541851"/>
    <w:rsid w:val="00546E3D"/>
    <w:rsid w:val="00564577"/>
    <w:rsid w:val="0058201A"/>
    <w:rsid w:val="005B347A"/>
    <w:rsid w:val="005B5B3A"/>
    <w:rsid w:val="005C61FE"/>
    <w:rsid w:val="005E0943"/>
    <w:rsid w:val="005E0CC1"/>
    <w:rsid w:val="005E6F3B"/>
    <w:rsid w:val="005F28BA"/>
    <w:rsid w:val="005F7030"/>
    <w:rsid w:val="00600907"/>
    <w:rsid w:val="00605D93"/>
    <w:rsid w:val="00620FEF"/>
    <w:rsid w:val="0062714B"/>
    <w:rsid w:val="00633897"/>
    <w:rsid w:val="00636BBC"/>
    <w:rsid w:val="00672474"/>
    <w:rsid w:val="00683121"/>
    <w:rsid w:val="00684901"/>
    <w:rsid w:val="006930B5"/>
    <w:rsid w:val="00696105"/>
    <w:rsid w:val="006B19C9"/>
    <w:rsid w:val="006B7254"/>
    <w:rsid w:val="006C1ABF"/>
    <w:rsid w:val="006C37F5"/>
    <w:rsid w:val="006D7024"/>
    <w:rsid w:val="006E59A6"/>
    <w:rsid w:val="006F29C6"/>
    <w:rsid w:val="006F674F"/>
    <w:rsid w:val="007042A1"/>
    <w:rsid w:val="007125D7"/>
    <w:rsid w:val="0072713C"/>
    <w:rsid w:val="00743FE1"/>
    <w:rsid w:val="00745F2C"/>
    <w:rsid w:val="00747C65"/>
    <w:rsid w:val="0075062B"/>
    <w:rsid w:val="00750FEA"/>
    <w:rsid w:val="00757B87"/>
    <w:rsid w:val="007627E3"/>
    <w:rsid w:val="007628F6"/>
    <w:rsid w:val="00777ACF"/>
    <w:rsid w:val="007949FB"/>
    <w:rsid w:val="00795897"/>
    <w:rsid w:val="007A7435"/>
    <w:rsid w:val="007C28D8"/>
    <w:rsid w:val="007C2ECA"/>
    <w:rsid w:val="007D453B"/>
    <w:rsid w:val="007D5186"/>
    <w:rsid w:val="007E5326"/>
    <w:rsid w:val="007E6039"/>
    <w:rsid w:val="007F01A5"/>
    <w:rsid w:val="00805EF5"/>
    <w:rsid w:val="00806D16"/>
    <w:rsid w:val="00813294"/>
    <w:rsid w:val="00814806"/>
    <w:rsid w:val="008152AD"/>
    <w:rsid w:val="00815AF8"/>
    <w:rsid w:val="00834F2B"/>
    <w:rsid w:val="00837714"/>
    <w:rsid w:val="00844764"/>
    <w:rsid w:val="00872C12"/>
    <w:rsid w:val="008831C3"/>
    <w:rsid w:val="008833EF"/>
    <w:rsid w:val="00884663"/>
    <w:rsid w:val="008923E9"/>
    <w:rsid w:val="008A2A1B"/>
    <w:rsid w:val="008B488E"/>
    <w:rsid w:val="008C03B4"/>
    <w:rsid w:val="008C1C27"/>
    <w:rsid w:val="008C24D7"/>
    <w:rsid w:val="008C51BE"/>
    <w:rsid w:val="0090054E"/>
    <w:rsid w:val="00900653"/>
    <w:rsid w:val="009028B1"/>
    <w:rsid w:val="00903636"/>
    <w:rsid w:val="0091612B"/>
    <w:rsid w:val="0091678F"/>
    <w:rsid w:val="00935C32"/>
    <w:rsid w:val="009369FB"/>
    <w:rsid w:val="00946FC6"/>
    <w:rsid w:val="00967B88"/>
    <w:rsid w:val="0097203E"/>
    <w:rsid w:val="0098472D"/>
    <w:rsid w:val="00996E6A"/>
    <w:rsid w:val="009975F7"/>
    <w:rsid w:val="009977A8"/>
    <w:rsid w:val="009A128E"/>
    <w:rsid w:val="009B4CD0"/>
    <w:rsid w:val="009B5F4D"/>
    <w:rsid w:val="009D511B"/>
    <w:rsid w:val="009D550A"/>
    <w:rsid w:val="009F0B51"/>
    <w:rsid w:val="00A11357"/>
    <w:rsid w:val="00A172F8"/>
    <w:rsid w:val="00A31F50"/>
    <w:rsid w:val="00A33C51"/>
    <w:rsid w:val="00A35149"/>
    <w:rsid w:val="00A53F3E"/>
    <w:rsid w:val="00A63ED4"/>
    <w:rsid w:val="00A67E63"/>
    <w:rsid w:val="00A7176E"/>
    <w:rsid w:val="00A71D06"/>
    <w:rsid w:val="00AA0F4F"/>
    <w:rsid w:val="00AA13F0"/>
    <w:rsid w:val="00AB004A"/>
    <w:rsid w:val="00AB498A"/>
    <w:rsid w:val="00AC01B0"/>
    <w:rsid w:val="00AC08AA"/>
    <w:rsid w:val="00AC6896"/>
    <w:rsid w:val="00AD05AC"/>
    <w:rsid w:val="00AD740D"/>
    <w:rsid w:val="00B05955"/>
    <w:rsid w:val="00B20A65"/>
    <w:rsid w:val="00B22C55"/>
    <w:rsid w:val="00B60874"/>
    <w:rsid w:val="00B6516B"/>
    <w:rsid w:val="00B73ABA"/>
    <w:rsid w:val="00B778AA"/>
    <w:rsid w:val="00B93ED4"/>
    <w:rsid w:val="00BA65D2"/>
    <w:rsid w:val="00BB3B11"/>
    <w:rsid w:val="00BC2ABB"/>
    <w:rsid w:val="00BC387A"/>
    <w:rsid w:val="00BF55F6"/>
    <w:rsid w:val="00C0003E"/>
    <w:rsid w:val="00C02E72"/>
    <w:rsid w:val="00C03091"/>
    <w:rsid w:val="00C24ABB"/>
    <w:rsid w:val="00C34111"/>
    <w:rsid w:val="00C46C1C"/>
    <w:rsid w:val="00C551CD"/>
    <w:rsid w:val="00C552BE"/>
    <w:rsid w:val="00C61066"/>
    <w:rsid w:val="00C6291C"/>
    <w:rsid w:val="00C62A22"/>
    <w:rsid w:val="00C63602"/>
    <w:rsid w:val="00C83C7F"/>
    <w:rsid w:val="00C86B57"/>
    <w:rsid w:val="00CA0157"/>
    <w:rsid w:val="00CB2D83"/>
    <w:rsid w:val="00CB369D"/>
    <w:rsid w:val="00CC1FE4"/>
    <w:rsid w:val="00CE0C3C"/>
    <w:rsid w:val="00CE5172"/>
    <w:rsid w:val="00CF7799"/>
    <w:rsid w:val="00D05705"/>
    <w:rsid w:val="00D111F9"/>
    <w:rsid w:val="00D31E84"/>
    <w:rsid w:val="00D33D7D"/>
    <w:rsid w:val="00D344FF"/>
    <w:rsid w:val="00D37D32"/>
    <w:rsid w:val="00D4374D"/>
    <w:rsid w:val="00D637D4"/>
    <w:rsid w:val="00D72476"/>
    <w:rsid w:val="00D822CC"/>
    <w:rsid w:val="00DA1655"/>
    <w:rsid w:val="00DA4495"/>
    <w:rsid w:val="00DA485E"/>
    <w:rsid w:val="00DA5745"/>
    <w:rsid w:val="00DB1210"/>
    <w:rsid w:val="00DB2D3E"/>
    <w:rsid w:val="00DD4EC2"/>
    <w:rsid w:val="00DE5290"/>
    <w:rsid w:val="00DF4BF9"/>
    <w:rsid w:val="00DF576F"/>
    <w:rsid w:val="00DF5B72"/>
    <w:rsid w:val="00E05F3C"/>
    <w:rsid w:val="00E06861"/>
    <w:rsid w:val="00E20AD6"/>
    <w:rsid w:val="00E307C3"/>
    <w:rsid w:val="00E60FD0"/>
    <w:rsid w:val="00E654B2"/>
    <w:rsid w:val="00E65F4B"/>
    <w:rsid w:val="00E661C5"/>
    <w:rsid w:val="00E67B0A"/>
    <w:rsid w:val="00E7515C"/>
    <w:rsid w:val="00E9216A"/>
    <w:rsid w:val="00EA0F15"/>
    <w:rsid w:val="00EA1DB6"/>
    <w:rsid w:val="00EB315E"/>
    <w:rsid w:val="00ED1E87"/>
    <w:rsid w:val="00ED612E"/>
    <w:rsid w:val="00EF35F1"/>
    <w:rsid w:val="00EF4078"/>
    <w:rsid w:val="00EF6371"/>
    <w:rsid w:val="00EF6534"/>
    <w:rsid w:val="00F0163A"/>
    <w:rsid w:val="00F14F5D"/>
    <w:rsid w:val="00F163AB"/>
    <w:rsid w:val="00F165BC"/>
    <w:rsid w:val="00F22283"/>
    <w:rsid w:val="00F27B5E"/>
    <w:rsid w:val="00F34BF6"/>
    <w:rsid w:val="00F4065A"/>
    <w:rsid w:val="00F43DDE"/>
    <w:rsid w:val="00F53BEF"/>
    <w:rsid w:val="00F752F1"/>
    <w:rsid w:val="00F82AEB"/>
    <w:rsid w:val="00F8645F"/>
    <w:rsid w:val="00F94A2F"/>
    <w:rsid w:val="00FC3987"/>
    <w:rsid w:val="00FC6AF1"/>
    <w:rsid w:val="00FD38DB"/>
    <w:rsid w:val="00FF614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F223-C7B3-4AA2-874E-928883929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3101</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6</cp:revision>
  <cp:lastPrinted>2021-12-03T16:31:00Z</cp:lastPrinted>
  <dcterms:created xsi:type="dcterms:W3CDTF">2022-07-01T19:10:00Z</dcterms:created>
  <dcterms:modified xsi:type="dcterms:W3CDTF">2022-07-04T19:02:00Z</dcterms:modified>
</cp:coreProperties>
</file>