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A564E" w:rsidRPr="004639D3" w:rsidP="000A564E">
      <w:pPr>
        <w:pStyle w:val="Default"/>
        <w:jc w:val="both"/>
        <w:rPr>
          <w:rFonts w:asciiTheme="minorHAnsi" w:hAnsiTheme="minorHAnsi" w:cstheme="minorHAnsi"/>
          <w:b/>
        </w:rPr>
      </w:pPr>
      <w:r w:rsidRPr="004639D3">
        <w:rPr>
          <w:rFonts w:asciiTheme="minorHAnsi" w:hAnsiTheme="minorHAnsi" w:cstheme="minorHAnsi"/>
          <w:b/>
        </w:rPr>
        <w:t xml:space="preserve">Parecer </w:t>
      </w:r>
      <w:r w:rsidRPr="004639D3">
        <w:rPr>
          <w:rFonts w:asciiTheme="minorHAnsi" w:hAnsiTheme="minorHAnsi" w:cstheme="minorHAnsi"/>
          <w:b/>
        </w:rPr>
        <w:t>J</w:t>
      </w:r>
      <w:r w:rsidRPr="004639D3">
        <w:rPr>
          <w:rFonts w:asciiTheme="minorHAnsi" w:hAnsiTheme="minorHAnsi" w:cstheme="minorHAnsi"/>
          <w:b/>
        </w:rPr>
        <w:t>urídico</w:t>
      </w:r>
      <w:r w:rsidRPr="004639D3">
        <w:rPr>
          <w:rFonts w:asciiTheme="minorHAnsi" w:hAnsiTheme="minorHAnsi" w:cstheme="minorHAnsi"/>
          <w:b/>
        </w:rPr>
        <w:t xml:space="preserve"> nº </w:t>
      </w:r>
      <w:r w:rsidR="00091DA0">
        <w:rPr>
          <w:rFonts w:asciiTheme="minorHAnsi" w:hAnsiTheme="minorHAnsi" w:cstheme="minorHAnsi"/>
          <w:b/>
        </w:rPr>
        <w:t>222</w:t>
      </w:r>
      <w:r w:rsidRPr="004639D3">
        <w:rPr>
          <w:rFonts w:asciiTheme="minorHAnsi" w:hAnsiTheme="minorHAnsi" w:cstheme="minorHAnsi"/>
          <w:b/>
        </w:rPr>
        <w:t>/20</w:t>
      </w:r>
      <w:r w:rsidRPr="004639D3" w:rsidR="004C24C7">
        <w:rPr>
          <w:rFonts w:asciiTheme="minorHAnsi" w:hAnsiTheme="minorHAnsi" w:cstheme="minorHAnsi"/>
          <w:b/>
        </w:rPr>
        <w:t>22</w:t>
      </w:r>
    </w:p>
    <w:p w:rsidR="00091DA0" w:rsidRPr="00091DA0" w:rsidP="0084738E">
      <w:pPr>
        <w:shd w:val="clear" w:color="auto" w:fill="FFFFFF"/>
        <w:jc w:val="both"/>
        <w:rPr>
          <w:rFonts w:asciiTheme="minorHAnsi" w:hAnsiTheme="minorHAnsi" w:cstheme="minorHAnsi"/>
          <w:bCs/>
          <w:szCs w:val="24"/>
        </w:rPr>
      </w:pPr>
      <w:r w:rsidRPr="004639D3">
        <w:rPr>
          <w:rFonts w:asciiTheme="minorHAnsi" w:hAnsiTheme="minorHAnsi" w:cstheme="minorHAnsi"/>
          <w:b/>
          <w:bCs/>
          <w:szCs w:val="24"/>
        </w:rPr>
        <w:t xml:space="preserve">Assunto: Projeto de Lei nº </w:t>
      </w:r>
      <w:r>
        <w:rPr>
          <w:rFonts w:asciiTheme="minorHAnsi" w:hAnsiTheme="minorHAnsi" w:cstheme="minorHAnsi"/>
          <w:b/>
          <w:bCs/>
          <w:szCs w:val="24"/>
        </w:rPr>
        <w:t>1</w:t>
      </w:r>
      <w:r w:rsidRPr="004639D3" w:rsidR="00BC67F2">
        <w:rPr>
          <w:rFonts w:asciiTheme="minorHAnsi" w:hAnsiTheme="minorHAnsi" w:cstheme="minorHAnsi"/>
          <w:b/>
          <w:bCs/>
          <w:szCs w:val="24"/>
        </w:rPr>
        <w:t>2</w:t>
      </w:r>
      <w:r w:rsidRPr="004639D3" w:rsidR="0084738E">
        <w:rPr>
          <w:rFonts w:asciiTheme="minorHAnsi" w:hAnsiTheme="minorHAnsi" w:cstheme="minorHAnsi"/>
          <w:b/>
          <w:bCs/>
          <w:szCs w:val="24"/>
        </w:rPr>
        <w:t>5</w:t>
      </w:r>
      <w:r w:rsidRPr="004639D3">
        <w:rPr>
          <w:rFonts w:asciiTheme="minorHAnsi" w:hAnsiTheme="minorHAnsi" w:cstheme="minorHAnsi"/>
          <w:b/>
          <w:bCs/>
          <w:szCs w:val="24"/>
        </w:rPr>
        <w:t>/20</w:t>
      </w:r>
      <w:r w:rsidRPr="004639D3" w:rsidR="004C24C7">
        <w:rPr>
          <w:rFonts w:asciiTheme="minorHAnsi" w:hAnsiTheme="minorHAnsi" w:cstheme="minorHAnsi"/>
          <w:b/>
          <w:bCs/>
          <w:szCs w:val="24"/>
        </w:rPr>
        <w:t>22 –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091DA0">
        <w:rPr>
          <w:rFonts w:asciiTheme="minorHAnsi" w:hAnsiTheme="minorHAnsi" w:cstheme="minorHAnsi"/>
          <w:bCs/>
          <w:szCs w:val="24"/>
        </w:rPr>
        <w:t>Dispõe sobre a implementação da prática do Grêmio Estudantil em todas as escolas públicas e privadas no ensino fundamental e médio.</w:t>
      </w:r>
    </w:p>
    <w:p w:rsidR="0084738E" w:rsidRPr="004639D3" w:rsidP="0084738E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  <w:r w:rsidRPr="004639D3">
        <w:rPr>
          <w:rFonts w:asciiTheme="minorHAnsi" w:hAnsiTheme="minorHAnsi" w:cstheme="minorHAnsi"/>
          <w:b/>
          <w:bCs/>
          <w:szCs w:val="24"/>
        </w:rPr>
        <w:t>Autoria do Vereador</w:t>
      </w:r>
      <w:r w:rsidRPr="004639D3" w:rsidR="00BC67F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91DA0" w:rsidR="00091DA0">
        <w:rPr>
          <w:rFonts w:asciiTheme="minorHAnsi" w:hAnsiTheme="minorHAnsi" w:cstheme="minorHAnsi"/>
          <w:b/>
          <w:bCs/>
          <w:szCs w:val="24"/>
        </w:rPr>
        <w:t>Henrique Cont</w:t>
      </w:r>
      <w:r w:rsidR="00091DA0">
        <w:rPr>
          <w:rFonts w:asciiTheme="minorHAnsi" w:hAnsiTheme="minorHAnsi" w:cstheme="minorHAnsi"/>
          <w:b/>
          <w:bCs/>
          <w:szCs w:val="24"/>
        </w:rPr>
        <w:t>i</w:t>
      </w:r>
    </w:p>
    <w:p w:rsidR="00BC67F2" w:rsidRPr="004639D3" w:rsidP="00866E5A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091DA0" w:rsidRPr="004639D3" w:rsidP="00D40CAB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2E0C51" w:rsidRPr="004639D3" w:rsidP="00D40CAB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0A564E" w:rsidRPr="004639D3" w:rsidP="00E4285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b/>
          <w:i/>
        </w:rPr>
        <w:t xml:space="preserve">À </w:t>
      </w:r>
      <w:r w:rsidRPr="004639D3" w:rsidR="00D40CAB">
        <w:rPr>
          <w:rFonts w:asciiTheme="minorHAnsi" w:hAnsiTheme="minorHAnsi" w:cstheme="minorHAnsi"/>
          <w:b/>
          <w:i/>
        </w:rPr>
        <w:t>Comissão de Justiça e Redação</w:t>
      </w:r>
    </w:p>
    <w:p w:rsidR="00E4285B" w:rsidRPr="004639D3" w:rsidP="00E4285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639D3">
        <w:rPr>
          <w:rFonts w:asciiTheme="minorHAnsi" w:hAnsiTheme="minorHAnsi" w:cstheme="minorHAnsi"/>
          <w:b/>
          <w:color w:val="auto"/>
        </w:rPr>
        <w:t>Exmo. Vereador Sidmar Rodrigo Toloi</w:t>
      </w:r>
    </w:p>
    <w:p w:rsidR="00383ADA" w:rsidRPr="004639D3" w:rsidP="00E4285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134650" w:rsidRPr="004639D3" w:rsidP="000A564E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84738E" w:rsidRPr="004639D3" w:rsidP="00091DA0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4639D3">
        <w:rPr>
          <w:rFonts w:asciiTheme="minorHAnsi" w:hAnsiTheme="minorHAnsi" w:cstheme="minorHAnsi"/>
          <w:color w:val="auto"/>
        </w:rPr>
        <w:t>Trata-se de parecer jurídico relativo ao projeto em epígrafe</w:t>
      </w:r>
      <w:r w:rsidRPr="004639D3" w:rsidR="002C5EAF">
        <w:rPr>
          <w:rFonts w:asciiTheme="minorHAnsi" w:hAnsiTheme="minorHAnsi" w:cstheme="minorHAnsi"/>
          <w:color w:val="auto"/>
        </w:rPr>
        <w:t xml:space="preserve"> que</w:t>
      </w:r>
      <w:r w:rsidRPr="004639D3" w:rsidR="00FE51A5">
        <w:rPr>
          <w:rFonts w:asciiTheme="minorHAnsi" w:hAnsiTheme="minorHAnsi" w:cstheme="minorHAnsi"/>
          <w:color w:val="auto"/>
        </w:rPr>
        <w:t xml:space="preserve"> </w:t>
      </w:r>
      <w:r w:rsidRPr="004639D3">
        <w:rPr>
          <w:rFonts w:asciiTheme="minorHAnsi" w:hAnsiTheme="minorHAnsi" w:cstheme="minorHAnsi"/>
          <w:i/>
          <w:color w:val="auto"/>
        </w:rPr>
        <w:t>“</w:t>
      </w:r>
      <w:r w:rsidRPr="00091DA0" w:rsidR="00091DA0">
        <w:rPr>
          <w:rFonts w:asciiTheme="minorHAnsi" w:hAnsiTheme="minorHAnsi" w:cstheme="minorHAnsi"/>
          <w:bCs/>
          <w:i/>
        </w:rPr>
        <w:t xml:space="preserve">Dispõe sobre a </w:t>
      </w:r>
      <w:r w:rsidRPr="00091DA0" w:rsidR="00091DA0">
        <w:rPr>
          <w:rFonts w:asciiTheme="minorHAnsi" w:hAnsiTheme="minorHAnsi" w:cstheme="minorHAnsi"/>
          <w:bCs/>
          <w:i/>
        </w:rPr>
        <w:t>implementação</w:t>
      </w:r>
      <w:r w:rsidRPr="00091DA0" w:rsidR="00091DA0">
        <w:rPr>
          <w:rFonts w:asciiTheme="minorHAnsi" w:hAnsiTheme="minorHAnsi" w:cstheme="minorHAnsi"/>
          <w:bCs/>
          <w:i/>
        </w:rPr>
        <w:t xml:space="preserve"> da prática do Grêmio Estudantil em todas as escolas públicas e privada</w:t>
      </w:r>
      <w:r w:rsidR="00091DA0">
        <w:rPr>
          <w:rFonts w:asciiTheme="minorHAnsi" w:hAnsiTheme="minorHAnsi" w:cstheme="minorHAnsi"/>
          <w:bCs/>
          <w:i/>
        </w:rPr>
        <w:t>s no ensino fundamental e médio</w:t>
      </w:r>
      <w:r w:rsidRPr="004639D3">
        <w:rPr>
          <w:rFonts w:asciiTheme="minorHAnsi" w:hAnsiTheme="minorHAnsi" w:cstheme="minorHAnsi"/>
          <w:i/>
          <w:color w:val="auto"/>
        </w:rPr>
        <w:t>”.</w:t>
      </w:r>
    </w:p>
    <w:p w:rsidR="002E0C51" w:rsidRPr="004639D3" w:rsidP="005273EF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i/>
          <w:szCs w:val="24"/>
        </w:rPr>
        <w:t xml:space="preserve"> </w:t>
      </w:r>
      <w:r w:rsidRPr="004639D3">
        <w:rPr>
          <w:rFonts w:asciiTheme="minorHAnsi" w:hAnsiTheme="minorHAnsi" w:cstheme="minorHAnsi"/>
          <w:i/>
          <w:szCs w:val="24"/>
        </w:rPr>
        <w:tab/>
        <w:t>Ab initio</w:t>
      </w:r>
      <w:r w:rsidRPr="004639D3">
        <w:rPr>
          <w:rFonts w:asciiTheme="minorHAnsi" w:hAnsiTheme="minorHAnsi" w:cstheme="minorHAnsi"/>
          <w:szCs w:val="24"/>
        </w:rPr>
        <w:t xml:space="preserve">, cumpre destacar a </w:t>
      </w:r>
      <w:r w:rsidRPr="004639D3" w:rsidR="003609CB">
        <w:rPr>
          <w:rFonts w:asciiTheme="minorHAnsi" w:hAnsiTheme="minorHAnsi" w:cstheme="minorHAnsi"/>
          <w:szCs w:val="24"/>
        </w:rPr>
        <w:t>atribuição</w:t>
      </w:r>
      <w:r w:rsidRPr="004639D3">
        <w:rPr>
          <w:rFonts w:asciiTheme="minorHAnsi" w:hAnsiTheme="minorHAnsi" w:cstheme="minorHAnsi"/>
          <w:szCs w:val="24"/>
        </w:rPr>
        <w:t xml:space="preserve"> regimental </w:t>
      </w:r>
      <w:r w:rsidRPr="004639D3" w:rsidR="003609CB">
        <w:rPr>
          <w:rFonts w:asciiTheme="minorHAnsi" w:hAnsiTheme="minorHAnsi" w:cstheme="minorHAnsi"/>
          <w:szCs w:val="24"/>
        </w:rPr>
        <w:t xml:space="preserve">à </w:t>
      </w:r>
      <w:r w:rsidRPr="004639D3">
        <w:rPr>
          <w:rFonts w:asciiTheme="minorHAnsi" w:hAnsiTheme="minorHAnsi" w:cstheme="minorHAnsi"/>
          <w:szCs w:val="24"/>
        </w:rPr>
        <w:t>Comissão de Justiça e Red</w:t>
      </w:r>
      <w:r w:rsidRPr="004639D3" w:rsidR="003609CB">
        <w:rPr>
          <w:rFonts w:asciiTheme="minorHAnsi" w:hAnsiTheme="minorHAnsi" w:cstheme="minorHAnsi"/>
          <w:szCs w:val="24"/>
        </w:rPr>
        <w:t>ação estabelecida no artigo 38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4639D3" w:rsidR="003609CB">
        <w:rPr>
          <w:rFonts w:asciiTheme="minorHAnsi" w:hAnsiTheme="minorHAnsi" w:cstheme="minorHAnsi"/>
          <w:szCs w:val="24"/>
        </w:rPr>
        <w:t>.</w:t>
      </w:r>
      <w:r w:rsidRPr="004639D3" w:rsidR="00433B18">
        <w:rPr>
          <w:rFonts w:asciiTheme="minorHAnsi" w:hAnsiTheme="minorHAnsi" w:cstheme="minorHAnsi"/>
          <w:szCs w:val="24"/>
        </w:rPr>
        <w:t xml:space="preserve"> </w:t>
      </w:r>
    </w:p>
    <w:p w:rsidR="00961EB7" w:rsidRPr="004639D3" w:rsidP="002E0C51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</w:rPr>
      </w:pPr>
      <w:r w:rsidRPr="004639D3">
        <w:rPr>
          <w:rFonts w:asciiTheme="minorHAnsi" w:hAnsiTheme="minorHAnsi" w:cstheme="minorHAnsi"/>
          <w:szCs w:val="24"/>
        </w:rPr>
        <w:t>Outrossim</w:t>
      </w:r>
      <w:r w:rsidRPr="004639D3">
        <w:rPr>
          <w:rFonts w:asciiTheme="minorHAnsi" w:hAnsiTheme="minorHAnsi" w:cstheme="minorHAnsi"/>
          <w:szCs w:val="24"/>
        </w:rPr>
        <w:t xml:space="preserve">, ressalta-se que a opinião jurídica </w:t>
      </w:r>
      <w:r w:rsidRPr="004639D3" w:rsidR="00C50FBC">
        <w:rPr>
          <w:rFonts w:asciiTheme="minorHAnsi" w:hAnsiTheme="minorHAnsi" w:cstheme="minorHAnsi"/>
          <w:szCs w:val="24"/>
        </w:rPr>
        <w:t>exarada</w:t>
      </w:r>
      <w:r w:rsidRPr="004639D3">
        <w:rPr>
          <w:rFonts w:asciiTheme="minorHAnsi" w:hAnsiTheme="minorHAnsi" w:cstheme="minorHAnsi"/>
          <w:szCs w:val="24"/>
        </w:rPr>
        <w:t xml:space="preserve"> não </w:t>
      </w:r>
      <w:r w:rsidRPr="004639D3" w:rsidR="00C50FBC">
        <w:rPr>
          <w:rFonts w:asciiTheme="minorHAnsi" w:hAnsiTheme="minorHAnsi" w:cstheme="minorHAnsi"/>
          <w:szCs w:val="24"/>
        </w:rPr>
        <w:t>possui</w:t>
      </w:r>
      <w:r w:rsidRPr="004639D3">
        <w:rPr>
          <w:rFonts w:asciiTheme="minorHAnsi" w:hAnsiTheme="minorHAnsi" w:cstheme="minorHAnsi"/>
          <w:szCs w:val="24"/>
        </w:rPr>
        <w:t xml:space="preserve"> força vinculante, sendo meramente opinativo</w:t>
      </w:r>
      <w:r w:rsidRPr="004639D3" w:rsidR="00A842D6">
        <w:rPr>
          <w:rFonts w:asciiTheme="minorHAnsi" w:hAnsiTheme="minorHAnsi" w:cstheme="minorHAnsi"/>
          <w:szCs w:val="24"/>
        </w:rPr>
        <w:t>,</w:t>
      </w:r>
      <w:r w:rsidRPr="004639D3">
        <w:rPr>
          <w:rFonts w:asciiTheme="minorHAnsi" w:hAnsiTheme="minorHAnsi" w:cstheme="minorHAnsi"/>
          <w:szCs w:val="24"/>
        </w:rPr>
        <w:t xml:space="preserve"> não fundamentando decisão proferida pelas Comissões.</w:t>
      </w:r>
      <w:r w:rsidRPr="004639D3" w:rsidR="002E0C51">
        <w:rPr>
          <w:rFonts w:asciiTheme="minorHAnsi" w:hAnsiTheme="minorHAnsi" w:cstheme="minorHAnsi"/>
          <w:szCs w:val="24"/>
        </w:rPr>
        <w:t xml:space="preserve"> </w:t>
      </w:r>
      <w:r w:rsidRPr="004639D3">
        <w:rPr>
          <w:rFonts w:asciiTheme="minorHAnsi" w:hAnsiTheme="minorHAnsi" w:cstheme="minorHAnsi"/>
        </w:rPr>
        <w:t xml:space="preserve">Nesse sentido é o entendimento do Supremo Tribunal Federal: </w:t>
      </w:r>
    </w:p>
    <w:p w:rsidR="00961EB7" w:rsidRPr="004639D3" w:rsidP="00961EB7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orientará o administrador na tomada da decisão, na prática do ato administrativo, que se constitui na execução </w:t>
      </w:r>
      <w:r w:rsidRPr="004639D3">
        <w:rPr>
          <w:rFonts w:asciiTheme="minorHAnsi" w:hAnsiTheme="minorHAnsi" w:cstheme="minorHAnsi"/>
          <w:i/>
          <w:sz w:val="22"/>
          <w:szCs w:val="22"/>
        </w:rPr>
        <w:t>ex</w:t>
      </w:r>
      <w:r w:rsidRPr="004639D3" w:rsidR="002E0C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639D3">
        <w:rPr>
          <w:rFonts w:asciiTheme="minorHAnsi" w:hAnsiTheme="minorHAnsi" w:cstheme="minorHAnsi"/>
          <w:i/>
          <w:sz w:val="22"/>
          <w:szCs w:val="22"/>
        </w:rPr>
        <w:t>oficio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084468" w:rsidP="0008446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color w:val="auto"/>
        </w:rPr>
        <w:t>Considerando-se o</w:t>
      </w:r>
      <w:r w:rsidRPr="004639D3" w:rsidR="00BC67F2">
        <w:rPr>
          <w:rFonts w:asciiTheme="minorHAnsi" w:hAnsiTheme="minorHAnsi" w:cstheme="minorHAnsi"/>
          <w:color w:val="auto"/>
        </w:rPr>
        <w:t>s</w:t>
      </w:r>
      <w:r w:rsidRPr="004639D3">
        <w:rPr>
          <w:rFonts w:asciiTheme="minorHAnsi" w:hAnsiTheme="minorHAnsi" w:cstheme="minorHAnsi"/>
          <w:color w:val="auto"/>
        </w:rPr>
        <w:t xml:space="preserve"> aspecto</w:t>
      </w:r>
      <w:r w:rsidRPr="004639D3" w:rsidR="00BC67F2">
        <w:rPr>
          <w:rFonts w:asciiTheme="minorHAnsi" w:hAnsiTheme="minorHAnsi" w:cstheme="minorHAnsi"/>
          <w:color w:val="auto"/>
        </w:rPr>
        <w:t>s jurídicos</w:t>
      </w:r>
      <w:r w:rsidRPr="004639D3">
        <w:rPr>
          <w:rFonts w:asciiTheme="minorHAnsi" w:hAnsiTheme="minorHAnsi" w:cstheme="minorHAnsi"/>
          <w:color w:val="auto"/>
        </w:rPr>
        <w:t xml:space="preserve"> passa-se a </w:t>
      </w:r>
      <w:r w:rsidRPr="004639D3">
        <w:rPr>
          <w:rFonts w:asciiTheme="minorHAnsi" w:hAnsiTheme="minorHAnsi" w:cstheme="minorHAnsi"/>
          <w:b/>
          <w:color w:val="auto"/>
        </w:rPr>
        <w:t>análise técnica</w:t>
      </w:r>
      <w:r w:rsidRPr="004639D3">
        <w:rPr>
          <w:rFonts w:asciiTheme="minorHAnsi" w:hAnsiTheme="minorHAnsi" w:cstheme="minorHAnsi"/>
          <w:color w:val="auto"/>
        </w:rPr>
        <w:t xml:space="preserve"> do projeto. </w:t>
      </w:r>
    </w:p>
    <w:p w:rsidR="00067AC8" w:rsidRPr="00694988" w:rsidP="0069498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D578F4">
        <w:rPr>
          <w:rFonts w:asciiTheme="minorHAnsi" w:hAnsiTheme="minorHAnsi" w:cstheme="minorHAnsi"/>
          <w:color w:val="auto"/>
        </w:rPr>
        <w:t xml:space="preserve">A proposta em exame no que tange à </w:t>
      </w:r>
      <w:r w:rsidRPr="00610CA9">
        <w:rPr>
          <w:rFonts w:asciiTheme="minorHAnsi" w:hAnsiTheme="minorHAnsi" w:cstheme="minorHAnsi"/>
          <w:b/>
        </w:rPr>
        <w:t>competência municipal</w:t>
      </w:r>
      <w:r w:rsidRPr="00BE6AF5">
        <w:rPr>
          <w:rFonts w:asciiTheme="minorHAnsi" w:hAnsiTheme="minorHAnsi" w:cstheme="minorHAnsi"/>
        </w:rPr>
        <w:t xml:space="preserve"> </w:t>
      </w:r>
      <w:r w:rsidRPr="00D578F4">
        <w:rPr>
          <w:rFonts w:asciiTheme="minorHAnsi" w:hAnsiTheme="minorHAnsi" w:cstheme="minorHAnsi"/>
          <w:color w:val="auto"/>
        </w:rPr>
        <w:t xml:space="preserve">matéria </w:t>
      </w:r>
      <w:r w:rsidRPr="008C17DF">
        <w:rPr>
          <w:rFonts w:asciiTheme="minorHAnsi" w:hAnsiTheme="minorHAnsi" w:cstheme="minorHAnsi"/>
          <w:color w:val="auto"/>
          <w:u w:val="thick"/>
        </w:rPr>
        <w:t>afigura-se revestida de constitucionalidade</w:t>
      </w:r>
      <w:r w:rsidRPr="00D578F4">
        <w:rPr>
          <w:rFonts w:asciiTheme="minorHAnsi" w:hAnsiTheme="minorHAnsi" w:cstheme="minorHAnsi"/>
          <w:color w:val="auto"/>
        </w:rPr>
        <w:t>, pois por força da Constituição os Municípios foram dotados de autonomia legislativa, que vem consubstanciada na capacidade de legislar sobre assuntos de interesse local</w:t>
      </w:r>
      <w:r w:rsidR="00964F53">
        <w:rPr>
          <w:rFonts w:asciiTheme="minorHAnsi" w:hAnsiTheme="minorHAnsi" w:cstheme="minorHAnsi"/>
          <w:color w:val="auto"/>
        </w:rPr>
        <w:t xml:space="preserve"> e de suplementar a legislação federal e estadual, no que couber</w:t>
      </w:r>
      <w:r>
        <w:rPr>
          <w:rFonts w:asciiTheme="minorHAnsi" w:hAnsiTheme="minorHAnsi" w:cstheme="minorHAnsi"/>
          <w:color w:val="auto"/>
        </w:rPr>
        <w:t xml:space="preserve"> </w:t>
      </w:r>
      <w:r w:rsidRPr="004639D3">
        <w:rPr>
          <w:rFonts w:asciiTheme="minorHAnsi" w:hAnsiTheme="minorHAnsi" w:cstheme="minorHAnsi"/>
        </w:rPr>
        <w:t>(art. 30, inciso</w:t>
      </w:r>
      <w:r w:rsidR="00964F53">
        <w:rPr>
          <w:rFonts w:asciiTheme="minorHAnsi" w:hAnsiTheme="minorHAnsi" w:cstheme="minorHAnsi"/>
        </w:rPr>
        <w:t>s</w:t>
      </w:r>
      <w:r w:rsidRPr="004639D3">
        <w:rPr>
          <w:rFonts w:asciiTheme="minorHAnsi" w:hAnsiTheme="minorHAnsi" w:cstheme="minorHAnsi"/>
        </w:rPr>
        <w:t xml:space="preserve"> I</w:t>
      </w:r>
      <w:r w:rsidR="00964F53">
        <w:rPr>
          <w:rFonts w:asciiTheme="minorHAnsi" w:hAnsiTheme="minorHAnsi" w:cstheme="minorHAnsi"/>
        </w:rPr>
        <w:t xml:space="preserve"> e II</w:t>
      </w:r>
      <w:r w:rsidRPr="004639D3">
        <w:rPr>
          <w:rFonts w:asciiTheme="minorHAnsi" w:hAnsiTheme="minorHAnsi" w:cstheme="minorHAnsi"/>
        </w:rPr>
        <w:t>, da CRFB):</w:t>
      </w:r>
    </w:p>
    <w:p w:rsidR="00067AC8" w:rsidRPr="004639D3" w:rsidP="00067AC8">
      <w:pPr>
        <w:shd w:val="clear" w:color="auto" w:fill="FFFFFF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Art. 30. Compete aos Municípios:</w:t>
      </w:r>
    </w:p>
    <w:p w:rsidR="00067AC8" w:rsidP="00067AC8">
      <w:pPr>
        <w:shd w:val="clear" w:color="auto" w:fill="FFFFFF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 - legislar sobre assuntos de interesse local;</w:t>
      </w:r>
    </w:p>
    <w:p w:rsidR="00964F53" w:rsidRPr="004639D3" w:rsidP="00067AC8">
      <w:pPr>
        <w:shd w:val="clear" w:color="auto" w:fill="FFFFFF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II – suplementar a legislação federal e estadual no que couber;</w:t>
      </w:r>
    </w:p>
    <w:p w:rsidR="00067AC8" w:rsidRPr="004639D3" w:rsidP="00067AC8">
      <w:pPr>
        <w:shd w:val="clear" w:color="auto" w:fill="FFFFFF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(...)</w:t>
      </w:r>
    </w:p>
    <w:p w:rsidR="00067AC8" w:rsidRPr="004639D3" w:rsidP="00BC67F2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No mesmo sentido a Lei Orgânica do Município:</w:t>
      </w:r>
    </w:p>
    <w:p w:rsidR="00067AC8" w:rsidRPr="004639D3" w:rsidP="00067AC8">
      <w:pPr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Artigo 5º </w:t>
      </w:r>
      <w:r w:rsidRPr="004639D3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- </w:t>
      </w:r>
      <w:r w:rsidRPr="004639D3">
        <w:rPr>
          <w:rFonts w:asciiTheme="minorHAnsi" w:hAnsiTheme="minorHAnsi" w:cstheme="minorHAnsi"/>
          <w:i/>
          <w:sz w:val="22"/>
          <w:szCs w:val="22"/>
          <w:u w:val="single"/>
        </w:rPr>
        <w:t>Compete ao Município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no exercício de sua autonomia legislar sobre tudo quanto respeite ao interesse local, tendo como objetivo o pleno desenvolvimento de suas funções sociais e garantir o bem-estar de seus habitantes</w:t>
      </w:r>
      <w:r w:rsidRPr="004639D3">
        <w:rPr>
          <w:rFonts w:asciiTheme="minorHAnsi" w:hAnsiTheme="minorHAnsi" w:cstheme="minorHAnsi"/>
          <w:i/>
          <w:sz w:val="22"/>
          <w:szCs w:val="22"/>
        </w:rPr>
        <w:t>, cabendo-lhe privativamente entre outras, as seguintes atribuições:</w:t>
      </w:r>
    </w:p>
    <w:p w:rsidR="00067AC8" w:rsidRPr="004639D3" w:rsidP="00067AC8">
      <w:pPr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>[...]</w:t>
      </w:r>
    </w:p>
    <w:p w:rsidR="00067AC8" w:rsidRPr="004639D3" w:rsidP="00067AC8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67AC8" w:rsidRPr="004639D3" w:rsidP="00067AC8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639D3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Artigo 8º - </w:t>
      </w:r>
      <w:r w:rsidRPr="004639D3">
        <w:rPr>
          <w:rFonts w:asciiTheme="minorHAnsi" w:hAnsiTheme="minorHAnsi" w:cstheme="minorHAnsi"/>
          <w:b/>
          <w:i/>
          <w:color w:val="auto"/>
          <w:sz w:val="22"/>
          <w:szCs w:val="22"/>
        </w:rPr>
        <w:t>Cabe à Câmara</w:t>
      </w:r>
      <w:r w:rsidRPr="004639D3">
        <w:rPr>
          <w:rFonts w:asciiTheme="minorHAnsi" w:hAnsiTheme="minorHAnsi" w:cstheme="minorHAnsi"/>
          <w:i/>
          <w:color w:val="auto"/>
          <w:sz w:val="22"/>
          <w:szCs w:val="22"/>
        </w:rPr>
        <w:t>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067AC8" w:rsidRPr="004639D3" w:rsidP="00067AC8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i/>
          <w:sz w:val="22"/>
          <w:szCs w:val="22"/>
        </w:rPr>
        <w:t>I - legislar sobre assuntos de interesse local;</w:t>
      </w:r>
    </w:p>
    <w:p w:rsidR="00067AC8" w:rsidRPr="004639D3" w:rsidP="00067AC8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>[...]</w:t>
      </w:r>
    </w:p>
    <w:p w:rsidR="00FE51A5" w:rsidRPr="004639D3" w:rsidP="00866E5A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color w:val="FF0000"/>
          <w:sz w:val="4"/>
          <w:szCs w:val="4"/>
        </w:rPr>
      </w:pPr>
    </w:p>
    <w:p w:rsidR="00067AC8" w:rsidRPr="004639D3" w:rsidP="00067AC8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Acerca do interesse local, a doutrina obtempera</w:t>
      </w:r>
      <w:r w:rsidRPr="004639D3">
        <w:rPr>
          <w:rFonts w:asciiTheme="minorHAnsi" w:hAnsiTheme="minorHAnsi" w:cstheme="minorHAnsi"/>
          <w:szCs w:val="24"/>
        </w:rPr>
        <w:t xml:space="preserve">: </w:t>
      </w:r>
    </w:p>
    <w:p w:rsidR="00067AC8" w:rsidRPr="004639D3" w:rsidP="00067AC8">
      <w:pPr>
        <w:tabs>
          <w:tab w:val="left" w:pos="2268"/>
        </w:tabs>
        <w:spacing w:after="240" w:line="276" w:lineRule="auto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“Interesse local não é interesse exclusivo do Município; não é interesse privativo da localidade; não é interesse único dos munícipes. Se se exigisse essa exclusividade, essa </w:t>
      </w:r>
      <w:r w:rsidRPr="004639D3">
        <w:rPr>
          <w:rFonts w:asciiTheme="minorHAnsi" w:hAnsiTheme="minorHAnsi" w:cstheme="minorHAnsi"/>
          <w:i/>
          <w:sz w:val="22"/>
          <w:szCs w:val="22"/>
        </w:rPr>
        <w:t>privatividade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, essa unicidade, bem reduzido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O que define e caracteriza o ‘interesse local’, inscrito como dogma constitucional, é a predominância do interesse do Município sobre o do Estado ou da União.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(...) Concluindo, podemos dizer que tudo quanto repercutir direta e indiretamente na vida municipal é de interesse peculiar do Município, embora possa interessar também indireta e mediatamente ao Estado-membro e à União. O provimento de tais negócios cabe exclusivamente Município interessado, não sendo lícita a ingerência de poderes estranhos sem ofensa à autonomia local.” </w:t>
      </w:r>
      <w:r w:rsidRPr="004639D3">
        <w:rPr>
          <w:rFonts w:asciiTheme="minorHAnsi" w:hAnsiTheme="minorHAnsi" w:cstheme="minorHAnsi"/>
          <w:sz w:val="22"/>
          <w:szCs w:val="22"/>
        </w:rPr>
        <w:t xml:space="preserve">(MEIRELLES, Hely Lopes, Direito Municipal Brasileiro, 16ª </w:t>
      </w:r>
      <w:r w:rsidRPr="004639D3">
        <w:rPr>
          <w:rFonts w:asciiTheme="minorHAnsi" w:hAnsiTheme="minorHAnsi" w:cstheme="minorHAnsi"/>
          <w:sz w:val="22"/>
          <w:szCs w:val="22"/>
        </w:rPr>
        <w:t>ed</w:t>
      </w:r>
      <w:r w:rsidRPr="004639D3">
        <w:rPr>
          <w:rFonts w:asciiTheme="minorHAnsi" w:hAnsiTheme="minorHAnsi" w:cstheme="minorHAnsi"/>
          <w:sz w:val="22"/>
          <w:szCs w:val="22"/>
        </w:rPr>
        <w:t>, Malheiros Editores, p. 111)</w:t>
      </w:r>
    </w:p>
    <w:p w:rsidR="00067AC8" w:rsidP="00067AC8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 w:rsidRPr="004639D3">
        <w:rPr>
          <w:rFonts w:asciiTheme="minorHAnsi" w:hAnsiTheme="minorHAnsi" w:cstheme="minorHAnsi"/>
          <w:color w:val="000000"/>
          <w:szCs w:val="24"/>
        </w:rPr>
        <w:t>Nessa toada, para</w:t>
      </w:r>
      <w:r w:rsidRPr="004639D3"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Pr="004639D3" w:rsidR="002330BC">
        <w:rPr>
          <w:rFonts w:eastAsia="Calibri" w:asciiTheme="minorHAnsi" w:hAnsiTheme="minorHAnsi" w:cstheme="minorHAnsi"/>
          <w:szCs w:val="24"/>
          <w:lang w:eastAsia="en-US"/>
        </w:rPr>
        <w:t xml:space="preserve">o E. </w:t>
      </w:r>
      <w:r w:rsidRPr="004639D3" w:rsidR="002330BC">
        <w:rPr>
          <w:rFonts w:eastAsia="Calibri" w:asciiTheme="minorHAnsi" w:hAnsiTheme="minorHAnsi" w:cstheme="minorHAnsi"/>
          <w:szCs w:val="24"/>
          <w:lang w:eastAsia="en-US"/>
        </w:rPr>
        <w:t>jurista</w:t>
      </w:r>
      <w:r w:rsidRPr="004639D3" w:rsidR="002330BC"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Pr="004639D3">
        <w:rPr>
          <w:rFonts w:eastAsia="Calibri" w:asciiTheme="minorHAnsi" w:hAnsiTheme="minorHAnsi" w:cstheme="minorHAnsi"/>
          <w:szCs w:val="24"/>
          <w:lang w:eastAsia="en-US"/>
        </w:rPr>
        <w:t>Alexandre de Moraes "</w:t>
      </w:r>
      <w:r w:rsidRPr="004639D3">
        <w:rPr>
          <w:rFonts w:eastAsia="Calibri" w:asciiTheme="minorHAnsi" w:hAnsiTheme="minorHAnsi" w:cstheme="minorHAnsi"/>
          <w:i/>
          <w:szCs w:val="24"/>
          <w:lang w:eastAsia="en-US"/>
        </w:rPr>
        <w:t xml:space="preserve">interesse local refere-se aos interesses que disserem respeito mais diretamente às necessidades imediatas do município, mesmo que acabem gerando reflexos no interesse regional </w:t>
      </w:r>
      <w:r w:rsidRPr="004639D3">
        <w:rPr>
          <w:rFonts w:eastAsia="Calibri" w:asciiTheme="minorHAnsi" w:hAnsiTheme="minorHAnsi" w:cstheme="minorHAnsi"/>
          <w:i/>
          <w:szCs w:val="24"/>
          <w:lang w:eastAsia="en-US"/>
        </w:rPr>
        <w:t>(Estados) ou geral (União</w:t>
      </w:r>
      <w:r w:rsidRPr="004639D3">
        <w:rPr>
          <w:rFonts w:eastAsia="Calibri" w:asciiTheme="minorHAnsi" w:hAnsiTheme="minorHAnsi" w:cstheme="minorHAnsi"/>
          <w:szCs w:val="24"/>
          <w:lang w:eastAsia="en-US"/>
        </w:rPr>
        <w:t>)" (in Constituição do Brasil Interpretada e Legislação Constitucional. 9ª ed., São Paulo: Atlas, 2013, p. 740).</w:t>
      </w:r>
    </w:p>
    <w:p w:rsidR="003F7E83" w:rsidP="00067AC8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>
        <w:rPr>
          <w:rFonts w:eastAsia="Calibri" w:asciiTheme="minorHAnsi" w:hAnsiTheme="minorHAnsi" w:cstheme="minorHAnsi"/>
          <w:szCs w:val="24"/>
          <w:lang w:eastAsia="en-US"/>
        </w:rPr>
        <w:t>No âmbito do Estado de S</w:t>
      </w:r>
      <w:r w:rsidR="00964F53">
        <w:rPr>
          <w:rFonts w:eastAsia="Calibri" w:asciiTheme="minorHAnsi" w:hAnsiTheme="minorHAnsi" w:cstheme="minorHAnsi"/>
          <w:szCs w:val="24"/>
          <w:lang w:eastAsia="en-US"/>
        </w:rPr>
        <w:t xml:space="preserve">ão Paulo </w:t>
      </w:r>
      <w:r w:rsidR="002B7ECF">
        <w:rPr>
          <w:rFonts w:eastAsia="Calibri" w:asciiTheme="minorHAnsi" w:hAnsiTheme="minorHAnsi" w:cstheme="minorHAnsi"/>
          <w:szCs w:val="24"/>
          <w:lang w:eastAsia="en-US"/>
        </w:rPr>
        <w:t>encontra-se em vigor</w:t>
      </w:r>
      <w:r w:rsidR="00964F53">
        <w:rPr>
          <w:rFonts w:eastAsia="Calibri" w:asciiTheme="minorHAnsi" w:hAnsiTheme="minorHAnsi" w:cstheme="minorHAnsi"/>
          <w:szCs w:val="24"/>
          <w:lang w:eastAsia="en-US"/>
        </w:rPr>
        <w:t xml:space="preserve"> a Lei nº 15.667/2015</w:t>
      </w:r>
      <w:r w:rsidR="002B7ECF">
        <w:rPr>
          <w:rFonts w:eastAsia="Calibri" w:asciiTheme="minorHAnsi" w:hAnsiTheme="minorHAnsi" w:cstheme="minorHAnsi"/>
          <w:szCs w:val="24"/>
          <w:lang w:eastAsia="en-US"/>
        </w:rPr>
        <w:t>,</w:t>
      </w:r>
      <w:r w:rsidR="00964F53">
        <w:rPr>
          <w:rFonts w:eastAsia="Calibri" w:asciiTheme="minorHAnsi" w:hAnsiTheme="minorHAnsi" w:cstheme="minorHAnsi"/>
          <w:szCs w:val="24"/>
          <w:lang w:eastAsia="en-US"/>
        </w:rPr>
        <w:t xml:space="preserve"> que d</w:t>
      </w:r>
      <w:r w:rsidRPr="003F7E83" w:rsidR="00964F53">
        <w:rPr>
          <w:rFonts w:eastAsia="Calibri" w:asciiTheme="minorHAnsi" w:hAnsiTheme="minorHAnsi" w:cstheme="minorHAnsi"/>
          <w:szCs w:val="24"/>
          <w:lang w:eastAsia="en-US"/>
        </w:rPr>
        <w:t>ispõe sobre a criação, organização e atuação dos grêmios estudantis nos estabelecimentos de ensino fundamental e médio públicos e privados</w:t>
      </w:r>
      <w:r w:rsidR="00A6228B">
        <w:rPr>
          <w:rFonts w:eastAsia="Calibri" w:asciiTheme="minorHAnsi" w:hAnsiTheme="minorHAnsi" w:cstheme="minorHAnsi"/>
          <w:szCs w:val="24"/>
          <w:lang w:eastAsia="en-US"/>
        </w:rPr>
        <w:t xml:space="preserve">, </w:t>
      </w:r>
      <w:r w:rsidRPr="002B7ECF" w:rsidR="00A6228B">
        <w:rPr>
          <w:rFonts w:eastAsia="Calibri" w:asciiTheme="minorHAnsi" w:hAnsiTheme="minorHAnsi" w:cstheme="minorHAnsi"/>
          <w:szCs w:val="24"/>
          <w:u w:val="single"/>
          <w:lang w:eastAsia="en-US"/>
        </w:rPr>
        <w:t xml:space="preserve">como a qual o projeto </w:t>
      </w:r>
      <w:r w:rsidR="00230869">
        <w:rPr>
          <w:rFonts w:eastAsia="Calibri" w:asciiTheme="minorHAnsi" w:hAnsiTheme="minorHAnsi" w:cstheme="minorHAnsi"/>
          <w:szCs w:val="24"/>
          <w:u w:val="single"/>
          <w:lang w:eastAsia="en-US"/>
        </w:rPr>
        <w:t xml:space="preserve">guarda </w:t>
      </w:r>
      <w:r w:rsidRPr="002B7ECF" w:rsidR="00A6228B">
        <w:rPr>
          <w:rFonts w:eastAsia="Calibri" w:asciiTheme="minorHAnsi" w:hAnsiTheme="minorHAnsi" w:cstheme="minorHAnsi"/>
          <w:szCs w:val="24"/>
          <w:u w:val="single"/>
          <w:lang w:eastAsia="en-US"/>
        </w:rPr>
        <w:t>consonância</w:t>
      </w:r>
      <w:r w:rsidR="00964F53">
        <w:rPr>
          <w:rFonts w:eastAsia="Calibri" w:asciiTheme="minorHAnsi" w:hAnsiTheme="minorHAnsi" w:cstheme="minorHAnsi"/>
          <w:szCs w:val="24"/>
          <w:lang w:eastAsia="en-US"/>
        </w:rPr>
        <w:t>:</w:t>
      </w:r>
    </w:p>
    <w:p w:rsidR="003F7E83" w:rsidRPr="003F7E83" w:rsidP="003142DB">
      <w:pPr>
        <w:spacing w:after="120"/>
        <w:ind w:left="2268"/>
        <w:jc w:val="both"/>
        <w:outlineLvl w:val="0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LEI Nº 15.667, DE 12 DE JANEIRO DE </w:t>
      </w:r>
      <w:r w:rsidRPr="003F7E83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2015</w:t>
      </w:r>
    </w:p>
    <w:p w:rsidR="003F7E83" w:rsidRPr="003F7E83" w:rsidP="003142DB">
      <w:pPr>
        <w:spacing w:after="120"/>
        <w:ind w:left="2268"/>
        <w:jc w:val="both"/>
        <w:outlineLvl w:val="1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(Projeto de lei nº 238, de 2008, do Deputado Bruno Covas - PSDB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p w:rsidR="003F7E83" w:rsidRPr="003F7E83" w:rsidP="003142DB">
      <w:pPr>
        <w:spacing w:after="120"/>
        <w:ind w:left="2268"/>
        <w:jc w:val="both"/>
        <w:outlineLvl w:val="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Dispõe</w:t>
      </w:r>
      <w:r w:rsidRPr="003F7E8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sobre a criação, organização e atuação dos grêmios estudantis nos estabelecimentos de ensino fundamental e médio públicos e privados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O PRESIDENTE DA ASSEMBLEIA LEGISLATIVA: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br/>
        <w:t>Faço saber que a Assembleia Legislativa decreta e eu promulgo, nos termos do artigo 28, § 8º, da Constituição do Estado, a seguinte lei: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Artigo 1º - 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Fica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assegurada, aos estudantes dos estabelecimentos de ensino fundamental e médio situados no Estado, a criação, organização e atuação de Grêmios Estudantis como entidades representativas de seus interesses, na forma da presente lei.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Artigo 2º - 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Vetado.</w:t>
      </w:r>
    </w:p>
    <w:p w:rsidR="00964F5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Artigo 3º - 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A criação do grêmio estudantil dar-se-á mediante Assembleia Geral de Estudantes convocada por edital de autoria: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 - da diretoria de ensino; 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ou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II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 - do diretor da escola; 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ou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III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 - dos alunos, através de abaixo-assinado que contenha assinatura de 5% (cinco por cento) dos alunos matriculados; 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ou</w:t>
      </w:r>
    </w:p>
    <w:p w:rsidR="002B05B0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IV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da Associação de Pais e Mestres.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§ 1º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A Assembleia terá como objeto a discussão e a deliberação dos seguintes assuntos: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1. 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nome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do grêmio;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2. 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estatuto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interno do grêmio;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3. 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comissão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eleitoral;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4. 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data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da eleição.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§ 2º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A Assembleia Geral deve ser realizada no prazo máximo de 30 (trinta) dias após a publicação do edital a que se refere o “caput” deste artigo.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§ 3º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Essa publicação deve ser ampla e irrestrita dentro do ambiente escolar, com divulgação dentro das salas de aula e demais dependências de convívio escolar.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§ 4º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Vetado.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Artigo 4º - 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Vetado:</w:t>
      </w:r>
    </w:p>
    <w:p w:rsidR="003F7E83" w:rsidP="00A6228B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vetado;</w:t>
      </w:r>
    </w:p>
    <w:p w:rsidR="003F7E83" w:rsidP="00A6228B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II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vetado.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Artigo 5º - 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Vetado:</w:t>
      </w:r>
    </w:p>
    <w:p w:rsidR="003F7E83" w:rsidP="00A6228B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vetado;</w:t>
      </w:r>
    </w:p>
    <w:p w:rsidR="003F7E83" w:rsidP="00A6228B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II 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- vetado;</w:t>
      </w:r>
    </w:p>
    <w:p w:rsidR="003F7E83" w:rsidP="00A6228B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III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vetado;</w:t>
      </w:r>
    </w:p>
    <w:p w:rsidR="003F7E83" w:rsidP="00A6228B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IV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vetado.</w:t>
      </w:r>
    </w:p>
    <w:p w:rsidR="003F7E83" w:rsidRPr="002B05B0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B05B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Artigo 6º</w:t>
      </w:r>
      <w:r w:rsidRPr="002B05B0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- </w:t>
      </w:r>
      <w:r w:rsidRPr="002B05B0">
        <w:rPr>
          <w:rFonts w:asciiTheme="minorHAnsi" w:hAnsiTheme="minorHAnsi" w:cstheme="minorHAnsi"/>
          <w:i/>
          <w:color w:val="000000"/>
          <w:sz w:val="22"/>
          <w:szCs w:val="22"/>
        </w:rPr>
        <w:t>Os estabelecimentos de ensino fundamental e médio, públicos e privados, deverão assegurar ao grêmio estudantil: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espaço para sua instalação e realização de suas atividades;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II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livre alocação e circulação de seus cartazes, panfletos, jornais e publicações;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III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vetado;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IV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vetado;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V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 - acesso de seus representantes a todas as dependências da instituição.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Artigo 7º - 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Os membros da diretoria do grêmio estudantil terão assegurada a permanência e rematrícula a partir da sua eleição até um ano após o fim de seu mandato.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Artigo 8º - 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As despesas decorrentes da execução desta lei correrão à conta das dotações próprias consignadas no orçamento vigente.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Artigo 9º - 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Vetado.</w:t>
      </w:r>
    </w:p>
    <w:p w:rsid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F7E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Artigo 10 - </w:t>
      </w:r>
      <w:r w:rsidRPr="003F7E83">
        <w:rPr>
          <w:rFonts w:asciiTheme="minorHAnsi" w:hAnsiTheme="minorHAnsi" w:cstheme="minorHAnsi"/>
          <w:i/>
          <w:color w:val="000000"/>
          <w:sz w:val="22"/>
          <w:szCs w:val="22"/>
        </w:rPr>
        <w:t>Esta lei entra em vigor na data de sua publicação.</w:t>
      </w:r>
    </w:p>
    <w:p w:rsidR="003142DB" w:rsidRPr="003F7E83" w:rsidP="003142D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4738E" w:rsidRPr="004639D3" w:rsidP="004639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639D3">
        <w:rPr>
          <w:rFonts w:asciiTheme="minorHAnsi" w:hAnsiTheme="minorHAnsi" w:cstheme="minorHAnsi"/>
          <w:szCs w:val="24"/>
        </w:rPr>
        <w:t xml:space="preserve"> </w:t>
      </w:r>
      <w:r w:rsidRPr="004639D3">
        <w:rPr>
          <w:rFonts w:asciiTheme="minorHAnsi" w:hAnsiTheme="minorHAnsi" w:cstheme="minorHAnsi"/>
          <w:szCs w:val="24"/>
        </w:rPr>
        <w:tab/>
      </w:r>
      <w:r w:rsidRPr="004639D3">
        <w:rPr>
          <w:rFonts w:asciiTheme="minorHAnsi" w:hAnsiTheme="minorHAnsi" w:cstheme="minorHAnsi"/>
          <w:szCs w:val="24"/>
        </w:rPr>
        <w:tab/>
      </w:r>
      <w:r w:rsidRPr="004639D3">
        <w:rPr>
          <w:rFonts w:asciiTheme="minorHAnsi" w:hAnsiTheme="minorHAnsi" w:cstheme="minorHAnsi"/>
          <w:color w:val="000000"/>
          <w:szCs w:val="24"/>
        </w:rPr>
        <w:t xml:space="preserve">No que tange à </w:t>
      </w:r>
      <w:r w:rsidRPr="00A6228B">
        <w:rPr>
          <w:rFonts w:asciiTheme="minorHAnsi" w:hAnsiTheme="minorHAnsi" w:cstheme="minorHAnsi"/>
          <w:b/>
          <w:color w:val="000000"/>
          <w:szCs w:val="24"/>
        </w:rPr>
        <w:t>competência para deflagrar o processo legislativo</w:t>
      </w:r>
      <w:r w:rsidRPr="004639D3">
        <w:rPr>
          <w:rFonts w:asciiTheme="minorHAnsi" w:hAnsiTheme="minorHAnsi" w:cstheme="minorHAnsi"/>
          <w:color w:val="000000"/>
          <w:szCs w:val="24"/>
        </w:rPr>
        <w:t xml:space="preserve"> </w:t>
      </w:r>
      <w:r w:rsidRPr="004639D3" w:rsidR="004639D3">
        <w:rPr>
          <w:rFonts w:asciiTheme="minorHAnsi" w:hAnsiTheme="minorHAnsi" w:cstheme="minorHAnsi"/>
          <w:color w:val="000000"/>
          <w:szCs w:val="24"/>
        </w:rPr>
        <w:t>a Constituição do Estado de São Paulo, no artigo 24, § 2º em simetria com o artigo 61, § 1º d</w:t>
      </w:r>
      <w:r w:rsidRPr="004639D3">
        <w:rPr>
          <w:rFonts w:asciiTheme="minorHAnsi" w:hAnsiTheme="minorHAnsi" w:cstheme="minorHAnsi"/>
          <w:color w:val="000000"/>
          <w:szCs w:val="24"/>
        </w:rPr>
        <w:t>a Constituição Federal, no estabelece o rol de hipóteses de iniciativa privativa do Chefe do Poder Executivo:</w:t>
      </w:r>
    </w:p>
    <w:p w:rsidR="0084738E" w:rsidRPr="004639D3" w:rsidP="003142DB">
      <w:pPr>
        <w:spacing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Artigo 24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84738E" w:rsidRPr="004639D3" w:rsidP="003142DB">
      <w:pPr>
        <w:spacing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[...]</w:t>
      </w:r>
    </w:p>
    <w:p w:rsidR="0084738E" w:rsidRPr="004639D3" w:rsidP="003142DB">
      <w:pPr>
        <w:pStyle w:val="paragrafo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§ 2º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84738E" w:rsidRPr="004639D3" w:rsidP="003142DB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0" w:name="CESP_ART_024_2_1"/>
      <w:bookmarkEnd w:id="0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extinção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84738E" w:rsidRPr="004639D3" w:rsidP="003142DB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" w:name="CESP_ART_024_2_2"/>
      <w:bookmarkEnd w:id="1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2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84738E" w:rsidRPr="004639D3" w:rsidP="003142DB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" w:name="CESP_ART_024_2_3"/>
      <w:bookmarkEnd w:id="2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organização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84738E" w:rsidRPr="004639D3" w:rsidP="003142DB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3" w:name="CESP_ART_024_2_4"/>
      <w:bookmarkEnd w:id="3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84738E" w:rsidRPr="004639D3" w:rsidP="003142DB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5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84738E" w:rsidP="003142DB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6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criação, alteração ou supressão de cartórios notariais e de registros públicos.</w:t>
      </w:r>
    </w:p>
    <w:p w:rsidR="002B05B0" w:rsidRPr="004639D3" w:rsidP="003142DB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4738E" w:rsidRPr="004639D3" w:rsidP="0084738E">
      <w:pPr>
        <w:spacing w:after="240" w:line="360" w:lineRule="auto"/>
        <w:ind w:firstLine="1701"/>
        <w:jc w:val="both"/>
        <w:rPr>
          <w:rFonts w:asciiTheme="minorHAnsi" w:hAnsiTheme="minorHAnsi" w:cstheme="minorHAnsi"/>
          <w:color w:val="000000"/>
          <w:szCs w:val="24"/>
        </w:rPr>
      </w:pPr>
      <w:r w:rsidRPr="004639D3">
        <w:rPr>
          <w:rFonts w:asciiTheme="minorHAnsi" w:hAnsiTheme="minorHAnsi" w:cstheme="minorHAnsi"/>
          <w:color w:val="000000"/>
          <w:szCs w:val="24"/>
        </w:rPr>
        <w:t>Do mesmo modo, o art. 48, da Lei Orgânica do Município de Valinhos estabelece as matérias de deflagração exclusiva do Prefeito Municipal:</w:t>
      </w:r>
    </w:p>
    <w:p w:rsidR="0084738E" w:rsidRPr="004639D3" w:rsidP="003142DB">
      <w:pPr>
        <w:spacing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Art. 48. Compete, exclusivamente, ao Prefeito a iniciativa dos projetos de lei que disponham sobre: </w:t>
      </w:r>
    </w:p>
    <w:p w:rsidR="0084738E" w:rsidRPr="004639D3" w:rsidP="003142DB">
      <w:pPr>
        <w:spacing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84738E" w:rsidRPr="004639D3" w:rsidP="003142DB">
      <w:pPr>
        <w:spacing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84738E" w:rsidRPr="004639D3" w:rsidP="003142DB">
      <w:pPr>
        <w:spacing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84738E" w:rsidRPr="004639D3" w:rsidP="003142DB">
      <w:pPr>
        <w:spacing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IV - abertura de créditos adicionais.</w:t>
      </w:r>
    </w:p>
    <w:p w:rsidR="0084738E" w:rsidRPr="004639D3" w:rsidP="0084738E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4738E" w:rsidRPr="004639D3" w:rsidP="0084738E">
      <w:pPr>
        <w:pStyle w:val="Default"/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 w:rsidRPr="004639D3">
        <w:rPr>
          <w:rFonts w:asciiTheme="minorHAnsi" w:hAnsiTheme="minorHAnsi" w:cstheme="minorHAnsi"/>
          <w:color w:val="auto"/>
        </w:rPr>
        <w:t>Acerca dos limites da competência legislativa municipal dos membros do Poder Legislativo destacamos</w:t>
      </w:r>
      <w:r w:rsidRPr="004639D3">
        <w:rPr>
          <w:rFonts w:asciiTheme="minorHAnsi" w:hAnsiTheme="minorHAnsi" w:cstheme="minorHAnsi"/>
          <w:b/>
          <w:color w:val="auto"/>
        </w:rPr>
        <w:t xml:space="preserve"> </w:t>
      </w:r>
      <w:r w:rsidRPr="004639D3">
        <w:rPr>
          <w:rFonts w:asciiTheme="minorHAnsi" w:hAnsiTheme="minorHAnsi" w:cstheme="minorHAnsi"/>
          <w:color w:val="auto"/>
        </w:rPr>
        <w:t>decisão do Colendo Supremo Tribunal Federal que forneceu paradigma nesse sentido</w:t>
      </w:r>
      <w:r w:rsidR="0054339B">
        <w:rPr>
          <w:rFonts w:asciiTheme="minorHAnsi" w:hAnsiTheme="minorHAnsi" w:cstheme="minorHAnsi"/>
          <w:color w:val="auto"/>
        </w:rPr>
        <w:t>, t</w:t>
      </w:r>
      <w:r w:rsidRPr="004639D3">
        <w:rPr>
          <w:rFonts w:asciiTheme="minorHAnsi" w:hAnsiTheme="minorHAnsi" w:cstheme="minorHAnsi"/>
          <w:color w:val="auto"/>
        </w:rPr>
        <w:t xml:space="preserve">rata-se do </w:t>
      </w:r>
      <w:r w:rsidRPr="004639D3">
        <w:rPr>
          <w:rFonts w:asciiTheme="minorHAnsi" w:hAnsiTheme="minorHAnsi" w:cstheme="minorHAnsi"/>
          <w:b/>
          <w:color w:val="auto"/>
        </w:rPr>
        <w:t>Tema nº 917 de repercussão geral (Paradigma ARE 878911)</w:t>
      </w:r>
      <w:r w:rsidRPr="004639D3">
        <w:rPr>
          <w:rFonts w:asciiTheme="minorHAnsi" w:hAnsiTheme="minorHAnsi" w:cstheme="minorHAnsi"/>
          <w:color w:val="auto"/>
        </w:rPr>
        <w:t xml:space="preserve"> que recebeu a seguinte redação:</w:t>
      </w:r>
      <w:bookmarkStart w:id="4" w:name="_GoBack"/>
      <w:bookmarkEnd w:id="4"/>
    </w:p>
    <w:p w:rsidR="0084738E" w:rsidRPr="004639D3" w:rsidP="003142DB">
      <w:pPr>
        <w:pStyle w:val="Default"/>
        <w:spacing w:line="300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“Não usurpa competência privativa do Chefe do Poder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II,"a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", "c" e "e", da Constituição Federal)”.</w:t>
      </w:r>
    </w:p>
    <w:p w:rsidR="0084738E" w:rsidRPr="004639D3" w:rsidP="003142DB">
      <w:pPr>
        <w:pStyle w:val="Default"/>
        <w:spacing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Não usurpa a competência privativa do chefe do Poder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 Pública, não trata da sua estrutura ou da atribuição de seus órgãos nem do regime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jurídico de servidores públicos.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4639D3">
        <w:rPr>
          <w:rFonts w:asciiTheme="minorHAnsi" w:hAnsiTheme="minorHAnsi" w:cstheme="minorHAnsi"/>
          <w:i/>
          <w:sz w:val="22"/>
          <w:szCs w:val="22"/>
        </w:rPr>
        <w:t>Relator(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84738E" w:rsidRPr="004639D3" w:rsidP="0084738E">
      <w:pPr>
        <w:pStyle w:val="Default"/>
        <w:spacing w:after="120" w:line="360" w:lineRule="auto"/>
        <w:ind w:left="2268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2B05B0" w:rsidP="00694988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color w:val="auto"/>
        </w:rPr>
        <w:t xml:space="preserve">Consoante entendimento da C. Suprema Corte (Tema de repercussão geral nº 917) extrai-se que a iniciativa dos vereadores encontra limites naqueles </w:t>
      </w:r>
      <w:r w:rsidRPr="005B67AD">
        <w:rPr>
          <w:rFonts w:asciiTheme="minorHAnsi" w:hAnsiTheme="minorHAnsi" w:cstheme="minorHAnsi"/>
          <w:color w:val="auto"/>
        </w:rPr>
        <w:t>assuntos afetos diretamente ao Chefe do Poder Executivo,</w:t>
      </w:r>
      <w:r w:rsidRPr="004639D3">
        <w:rPr>
          <w:rFonts w:asciiTheme="minorHAnsi" w:hAnsiTheme="minorHAnsi" w:cstheme="minorHAnsi"/>
          <w:color w:val="auto"/>
        </w:rPr>
        <w:t xml:space="preserve"> notadamente, a estruturação da Administração Pública, a atribuição de seus órgãos e o regime jurídico de servidores público.</w:t>
      </w:r>
    </w:p>
    <w:p w:rsidR="00694988" w:rsidP="00694988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C03091">
        <w:rPr>
          <w:rFonts w:asciiTheme="minorHAnsi" w:hAnsiTheme="minorHAnsi" w:cstheme="minorHAnsi"/>
          <w:color w:val="auto"/>
        </w:rPr>
        <w:t xml:space="preserve">Destarte, </w:t>
      </w:r>
      <w:r>
        <w:rPr>
          <w:rFonts w:asciiTheme="minorHAnsi" w:hAnsiTheme="minorHAnsi" w:cstheme="minorHAnsi"/>
          <w:color w:val="auto"/>
        </w:rPr>
        <w:t>infere-se que o projeto em análise não viola as regras de iniciativa, porquanto não se trata de matéria de competência privativa do Chefe do Poder Executivo.</w:t>
      </w:r>
    </w:p>
    <w:p w:rsidR="003142DB" w:rsidRPr="008D1AE5" w:rsidP="003142DB">
      <w:pPr>
        <w:spacing w:after="240" w:line="360" w:lineRule="auto"/>
        <w:ind w:firstLine="1701"/>
        <w:jc w:val="both"/>
        <w:rPr>
          <w:rFonts w:ascii="Calibri" w:hAnsi="Calibri" w:cs="TimesNewRomanPSMT"/>
          <w:szCs w:val="24"/>
        </w:rPr>
      </w:pPr>
      <w:r>
        <w:rPr>
          <w:rFonts w:ascii="Calibri" w:hAnsi="Calibri" w:cs="TimesNewRomanPSMT"/>
          <w:szCs w:val="24"/>
        </w:rPr>
        <w:t>Ademais</w:t>
      </w:r>
      <w:r w:rsidRPr="008D1AE5">
        <w:rPr>
          <w:rFonts w:ascii="Calibri" w:hAnsi="Calibri" w:cs="TimesNewRomanPSMT"/>
          <w:szCs w:val="24"/>
        </w:rPr>
        <w:t xml:space="preserve">, </w:t>
      </w:r>
      <w:r>
        <w:rPr>
          <w:rFonts w:ascii="Calibri" w:hAnsi="Calibri" w:cs="TimesNewRomanPSMT"/>
          <w:szCs w:val="24"/>
        </w:rPr>
        <w:t xml:space="preserve">quanto aos estabelecimentos privados temos que </w:t>
      </w:r>
      <w:r w:rsidRPr="008D1AE5">
        <w:rPr>
          <w:rFonts w:ascii="Calibri" w:hAnsi="Calibri" w:cs="TimesNewRomanPSMT"/>
          <w:szCs w:val="24"/>
        </w:rPr>
        <w:t xml:space="preserve">a matéria de fundo veiculada insere-se no âmbito do Poder de Polícia, o qual consiste na faculdade do Poder Público de impor ações ou omissões no resguardo e na atenção do interesse público. </w:t>
      </w:r>
    </w:p>
    <w:p w:rsidR="003142DB" w:rsidRPr="008D1AE5" w:rsidP="003142DB">
      <w:pPr>
        <w:spacing w:line="360" w:lineRule="auto"/>
        <w:ind w:firstLine="1701"/>
        <w:jc w:val="both"/>
        <w:rPr>
          <w:rFonts w:ascii="Calibri" w:hAnsi="Calibri" w:cs="TimesNewRomanPSMT"/>
          <w:szCs w:val="24"/>
        </w:rPr>
      </w:pPr>
      <w:r w:rsidRPr="008D1AE5">
        <w:rPr>
          <w:rFonts w:ascii="Calibri" w:hAnsi="Calibri" w:cs="TimesNewRomanPSMT"/>
          <w:szCs w:val="24"/>
        </w:rPr>
        <w:t>O Código Tributário Nacional define o poder de polícia nos seguintes termos:</w:t>
      </w:r>
    </w:p>
    <w:p w:rsidR="003142DB" w:rsidRPr="008D1AE5" w:rsidP="003142DB">
      <w:pPr>
        <w:ind w:left="2268"/>
        <w:jc w:val="both"/>
        <w:rPr>
          <w:rFonts w:ascii="Calibri" w:hAnsi="Calibri"/>
          <w:i/>
          <w:sz w:val="22"/>
          <w:szCs w:val="22"/>
        </w:rPr>
      </w:pPr>
      <w:r w:rsidRPr="008D1AE5">
        <w:rPr>
          <w:rFonts w:ascii="Calibri" w:hAnsi="Calibri"/>
          <w:i/>
          <w:sz w:val="22"/>
          <w:szCs w:val="22"/>
        </w:rPr>
        <w:t>Art. 78. Considera-se poder de polícia atividade da administração pública que, limitando ou disciplinando direito, interesse (sic) ou liberdade, regula a prática de ato ou abstenção de fato, em razão de interesse (sic) público concernente à segurança, à higiene, à ordem, aos costumes, à disciplina da produção e do mercado, ao exercício de atividades econômicas dependentes de concessão ou autorização do Poder Público, à tranquilidade (sic) pública ou ao respeito à propriedade e aos direitos individuais ou coletivos. </w:t>
      </w:r>
    </w:p>
    <w:p w:rsidR="0084738E" w:rsidRPr="004639D3" w:rsidP="0084738E">
      <w:pPr>
        <w:spacing w:before="120"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 xml:space="preserve">Por derradeiro, quanto ao aspecto gramatical e lógico o projeto atende aos preceitos da Lei Complementar nº 95 de 1998, que dispõe sobre a elaboração, a redação, a alteração e a consolidação das leis, conforme determina o parágrafo único do art. 59 da Constituição Federal. </w:t>
      </w:r>
    </w:p>
    <w:p w:rsidR="0084738E" w:rsidRPr="004639D3" w:rsidP="008473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4"/>
          <w:szCs w:val="4"/>
          <w:lang w:eastAsia="en-US"/>
        </w:rPr>
      </w:pPr>
    </w:p>
    <w:p w:rsidR="0084738E" w:rsidRPr="004639D3" w:rsidP="0084738E">
      <w:pPr>
        <w:spacing w:after="120" w:line="360" w:lineRule="auto"/>
        <w:ind w:firstLine="1701"/>
        <w:jc w:val="both"/>
        <w:rPr>
          <w:rFonts w:eastAsia="Calibri" w:asciiTheme="minorHAnsi" w:hAnsiTheme="minorHAnsi" w:cstheme="minorHAnsi"/>
          <w:b/>
          <w:szCs w:val="24"/>
        </w:rPr>
      </w:pPr>
      <w:r>
        <w:rPr>
          <w:rFonts w:eastAsia="Calibri" w:asciiTheme="minorHAnsi" w:hAnsiTheme="minorHAnsi" w:cstheme="minorHAnsi"/>
          <w:szCs w:val="24"/>
        </w:rPr>
        <w:t>Ante todo o exposto, opinamos pela constitucionalidade e legalidade do projeto. Sobre o mérito manifestar-se-á o soberano Plenário.</w:t>
      </w:r>
      <w:r w:rsidRPr="004639D3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:rsidR="0084738E" w:rsidRPr="004639D3" w:rsidP="0084738E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É o parecer.</w:t>
      </w:r>
    </w:p>
    <w:p w:rsidR="0084738E" w:rsidP="0084738E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Procuradoria, aos 0</w:t>
      </w:r>
      <w:r w:rsidR="00A64717">
        <w:rPr>
          <w:rFonts w:asciiTheme="minorHAnsi" w:hAnsiTheme="minorHAnsi" w:cstheme="minorHAnsi"/>
          <w:szCs w:val="24"/>
        </w:rPr>
        <w:t>7</w:t>
      </w:r>
      <w:r w:rsidRPr="004639D3">
        <w:rPr>
          <w:rFonts w:asciiTheme="minorHAnsi" w:hAnsiTheme="minorHAnsi" w:cstheme="minorHAnsi"/>
          <w:szCs w:val="24"/>
        </w:rPr>
        <w:t xml:space="preserve"> de </w:t>
      </w:r>
      <w:r w:rsidR="00A64717">
        <w:rPr>
          <w:rFonts w:asciiTheme="minorHAnsi" w:hAnsiTheme="minorHAnsi" w:cstheme="minorHAnsi"/>
          <w:szCs w:val="24"/>
        </w:rPr>
        <w:t>junho</w:t>
      </w:r>
      <w:r w:rsidRPr="004639D3">
        <w:rPr>
          <w:rFonts w:asciiTheme="minorHAnsi" w:hAnsiTheme="minorHAnsi" w:cstheme="minorHAnsi"/>
          <w:szCs w:val="24"/>
        </w:rPr>
        <w:t xml:space="preserve"> de 2022.</w:t>
      </w:r>
    </w:p>
    <w:p w:rsidR="002B05B0" w:rsidRPr="004639D3" w:rsidP="0084738E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84738E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7B3F78" w:rsidP="007B3F78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Rosemeire de Souza Cardoso Barbosa</w:t>
      </w:r>
    </w:p>
    <w:p w:rsidR="007B3F78" w:rsidP="007B3F78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Procuradora - OAB/SP 308.298</w:t>
      </w:r>
    </w:p>
    <w:p w:rsidR="0084738E" w:rsidRPr="004639D3" w:rsidP="00694988">
      <w:pPr>
        <w:pStyle w:val="BodyText"/>
        <w:spacing w:after="0"/>
        <w:jc w:val="center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p w:rsidR="000A564E" w:rsidRPr="004639D3" w:rsidP="00A232C8">
      <w:pPr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ab/>
      </w:r>
      <w:r w:rsidRPr="004639D3">
        <w:rPr>
          <w:rFonts w:asciiTheme="minorHAnsi" w:hAnsiTheme="minorHAnsi" w:cstheme="minorHAnsi"/>
          <w:szCs w:val="24"/>
        </w:rPr>
        <w:tab/>
      </w:r>
    </w:p>
    <w:sectPr w:rsidSect="00BC67F2">
      <w:headerReference w:type="default" r:id="rId6"/>
      <w:footerReference w:type="default" r:id="rId7"/>
      <w:type w:val="continuous"/>
      <w:pgSz w:w="11907" w:h="16840" w:code="9"/>
      <w:pgMar w:top="2552" w:right="1213" w:bottom="1134" w:left="21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1511289301"/>
      <w:docPartObj>
        <w:docPartGallery w:val="Page Numbers (Top of Page)"/>
        <w:docPartUnique/>
      </w:docPartObj>
    </w:sdtPr>
    <w:sdtContent>
      <w:p w:rsidR="00964F53" w:rsidP="002E0C51">
        <w:pPr>
          <w:pStyle w:val="Footer"/>
          <w:ind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>________________________________________________________________________________________</w:t>
        </w:r>
      </w:p>
      <w:p w:rsidR="00964F53" w:rsidP="002E0C51">
        <w:pPr>
          <w:pStyle w:val="Footer"/>
          <w:ind w:right="-313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      Rua Antônio Schiavinato, 59, Residencial São Luis - Tel: (19) 3829.5310 - CEP: 13270-</w:t>
        </w:r>
        <w:r>
          <w:rPr>
            <w:sz w:val="18"/>
            <w:lang w:val="pt-PT"/>
          </w:rPr>
          <w:t>470</w:t>
        </w:r>
      </w:p>
      <w:p w:rsidR="00964F53" w:rsidP="002E0C51">
        <w:pPr>
          <w:pStyle w:val="Footer"/>
          <w:ind w:left="-1985"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</w:t>
        </w:r>
        <w:r>
          <w:rPr>
            <w:sz w:val="18"/>
            <w:lang w:val="pt-PT"/>
          </w:rPr>
          <w:t>site</w:t>
        </w:r>
        <w:r>
          <w:rPr>
            <w:sz w:val="18"/>
            <w:lang w:val="pt-PT"/>
          </w:rPr>
          <w:t xml:space="preserve">: www.camaravalinhos.sp.gov.br   </w:t>
        </w:r>
      </w:p>
      <w:p w:rsidR="00964F53" w:rsidP="00866E5A">
        <w:pPr>
          <w:pStyle w:val="Footer"/>
          <w:tabs>
            <w:tab w:val="left" w:pos="5325"/>
            <w:tab w:val="right" w:pos="8534"/>
          </w:tabs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  <w:t xml:space="preserve">   </w:t>
        </w:r>
        <w:r w:rsidRPr="005C4786">
          <w:rPr>
            <w:rFonts w:asciiTheme="minorHAnsi" w:hAnsiTheme="minorHAnsi"/>
            <w:sz w:val="16"/>
            <w:szCs w:val="16"/>
          </w:rPr>
          <w:t xml:space="preserve">Página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4339B">
          <w:rPr>
            <w:rFonts w:asciiTheme="minorHAnsi" w:hAnsiTheme="minorHAnsi"/>
            <w:b/>
            <w:bCs/>
            <w:noProof/>
            <w:sz w:val="16"/>
            <w:szCs w:val="16"/>
          </w:rPr>
          <w:t>7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5C4786">
          <w:rPr>
            <w:rFonts w:asciiTheme="minorHAnsi" w:hAnsiTheme="minorHAnsi"/>
            <w:sz w:val="16"/>
            <w:szCs w:val="16"/>
          </w:rPr>
          <w:t xml:space="preserve"> de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4339B">
          <w:rPr>
            <w:rFonts w:asciiTheme="minorHAnsi" w:hAnsiTheme="minorHAnsi"/>
            <w:b/>
            <w:bCs/>
            <w:noProof/>
            <w:sz w:val="16"/>
            <w:szCs w:val="16"/>
          </w:rPr>
          <w:t>9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:rsidR="00964F53" w:rsidP="00866E5A">
    <w:pPr>
      <w:pStyle w:val="Footer"/>
    </w:pPr>
  </w:p>
  <w:p w:rsidR="00964F53" w:rsidP="00866E5A">
    <w:pPr>
      <w:pStyle w:val="Footer"/>
    </w:pPr>
  </w:p>
  <w:p w:rsidR="00964F53" w:rsidRPr="00835EC1" w:rsidP="00866E5A">
    <w:pPr>
      <w:pStyle w:val="Footer"/>
    </w:pPr>
  </w:p>
  <w:p w:rsidR="00964F53"/>
  <w:p w:rsidR="00964F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64F53" w:rsidP="005273EF">
      <w:r>
        <w:separator/>
      </w:r>
    </w:p>
  </w:footnote>
  <w:footnote w:type="continuationSeparator" w:id="1">
    <w:p w:rsidR="00964F53" w:rsidP="005273EF">
      <w:r>
        <w:continuationSeparator/>
      </w:r>
    </w:p>
  </w:footnote>
  <w:footnote w:id="2">
    <w:p w:rsidR="00964F53" w:rsidP="00433B1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C67F2">
        <w:rPr>
          <w:rFonts w:asciiTheme="minorHAnsi" w:hAnsiTheme="minorHAnsi"/>
          <w:i/>
        </w:rPr>
        <w:t xml:space="preserve">Art. 38. Compete à Comissão de Justiça e Redação manifestar-se sobre todos os assuntos entregues à sua apreciação, </w:t>
      </w:r>
      <w:r w:rsidRPr="00BC67F2">
        <w:rPr>
          <w:rFonts w:asciiTheme="minorHAnsi" w:hAnsiTheme="minorHAnsi"/>
          <w:b/>
          <w:i/>
        </w:rPr>
        <w:t xml:space="preserve">quanto ao seu aspecto constitucional, legal ou jurídico </w:t>
      </w:r>
      <w:r w:rsidRPr="00BC67F2">
        <w:rPr>
          <w:rFonts w:asciiTheme="minorHAnsi" w:hAnsiTheme="minorHAnsi"/>
          <w:i/>
        </w:rPr>
        <w:t xml:space="preserve">e quanto ao seu aspecto gramatical e lógico, quando solicitado o seu parecer por imposição regimental ou deliberação de um terço dos Vereadores da Câmara.§ 1º É obrigatória </w:t>
      </w:r>
      <w:r w:rsidRPr="00BC67F2">
        <w:rPr>
          <w:rFonts w:asciiTheme="minorHAnsi" w:hAnsiTheme="minorHAnsi"/>
          <w:i/>
        </w:rPr>
        <w:t>a</w:t>
      </w:r>
      <w:r w:rsidRPr="00BC67F2">
        <w:rPr>
          <w:rFonts w:asciiTheme="minorHAnsi" w:hAnsiTheme="minorHAnsi"/>
          <w:i/>
        </w:rPr>
        <w:t xml:space="preserve"> audiência da Comissão sobre todos os projetos que tramitem pela Câmara, ressalvados os que explicitamente tiverem outro destino por este Regimento.§ 2º Concluindo a Comissão de Justiça e Redação pela ilegalidade ou inconstitucionalidade de um projeto, deve o parecer vir a plenário para ser discutido e somente quando rejeitado prosseguirá o processo.(</w:t>
      </w:r>
      <w:r w:rsidRPr="00BC67F2">
        <w:rPr>
          <w:rFonts w:asciiTheme="minorHAnsi" w:hAnsiTheme="minorHAnsi"/>
          <w:i/>
        </w:rPr>
        <w:t>G.n</w:t>
      </w:r>
      <w:r w:rsidRPr="00BC67F2">
        <w:rPr>
          <w:rFonts w:asciiTheme="minorHAnsi" w:hAnsiTheme="minorHAnsi"/>
          <w:i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4F53">
    <w:pPr>
      <w:pStyle w:val="Header"/>
      <w:rPr>
        <w:b/>
        <w:sz w:val="28"/>
        <w:lang w:val="pt-PT"/>
      </w:rPr>
    </w:pPr>
  </w:p>
  <w:p w:rsidR="00964F53">
    <w:pPr>
      <w:pStyle w:val="Header"/>
      <w:rPr>
        <w:b/>
        <w:sz w:val="28"/>
        <w:lang w:val="pt-PT"/>
      </w:rPr>
    </w:pPr>
  </w:p>
  <w:p w:rsidR="00964F53">
    <w:pPr>
      <w:pStyle w:val="Header"/>
      <w:rPr>
        <w:b/>
        <w:sz w:val="28"/>
        <w:lang w:val="pt-PT"/>
      </w:rPr>
    </w:pPr>
  </w:p>
  <w:p w:rsidR="00964F53" w:rsidP="00866E5A">
    <w:pPr>
      <w:pStyle w:val="Header"/>
      <w:ind w:right="-822"/>
      <w:jc w:val="right"/>
      <w:rPr>
        <w:b/>
        <w:noProof/>
        <w:sz w:val="28"/>
      </w:rPr>
    </w:pPr>
  </w:p>
  <w:p w:rsidR="00964F53" w:rsidP="002E0C51">
    <w:pPr>
      <w:pStyle w:val="Header"/>
      <w:jc w:val="center"/>
      <w:rPr>
        <w:b/>
        <w:sz w:val="26"/>
        <w:lang w:val="pt-PT"/>
      </w:rPr>
    </w:pPr>
  </w:p>
  <w:p w:rsidR="00964F53" w:rsidP="002E0C51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F53" w:rsidP="002E0C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639081310" name="Imagem 5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1615551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629534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64F53" w:rsidP="002E0C51">
                    <w:drawing>
                      <wp:inline distT="0" distB="0" distL="0" distR="0">
                        <wp:extent cx="876300" cy="850900"/>
                        <wp:effectExtent l="19050" t="0" r="0" b="0"/>
                        <wp:docPr id="5" name="Imagem 5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9182912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618916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64F53" w:rsidP="002E0C51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64F53" w:rsidP="002E0C51">
    <w:pPr>
      <w:pStyle w:val="Header"/>
      <w:jc w:val="center"/>
    </w:pPr>
    <w:r>
      <w:rPr>
        <w:sz w:val="20"/>
        <w:lang w:val="pt-PT"/>
      </w:rPr>
      <w:t>ESTADO DE SÃO PAULO</w:t>
    </w:r>
  </w:p>
  <w:p w:rsidR="00964F53" w:rsidP="00866E5A">
    <w:pPr>
      <w:pStyle w:val="Header"/>
      <w:ind w:right="-822"/>
      <w:jc w:val="right"/>
      <w:rPr>
        <w:b/>
        <w:noProof/>
        <w:sz w:val="28"/>
      </w:rPr>
    </w:pPr>
  </w:p>
  <w:p w:rsidR="00964F53" w:rsidP="00866E5A">
    <w:pPr>
      <w:pStyle w:val="Header"/>
      <w:ind w:right="-822"/>
      <w:jc w:val="right"/>
      <w:rPr>
        <w:b/>
        <w:noProof/>
        <w:sz w:val="28"/>
      </w:rPr>
    </w:pPr>
  </w:p>
  <w:p w:rsidR="00964F53"/>
  <w:p w:rsidR="00964F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9B1F8A"/>
    <w:multiLevelType w:val="hybridMultilevel"/>
    <w:tmpl w:val="68168158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E1155B4"/>
    <w:multiLevelType w:val="hybridMultilevel"/>
    <w:tmpl w:val="52F61D42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E"/>
    <w:rsid w:val="0003651A"/>
    <w:rsid w:val="00057344"/>
    <w:rsid w:val="00067AC8"/>
    <w:rsid w:val="00076E23"/>
    <w:rsid w:val="00084468"/>
    <w:rsid w:val="0009184A"/>
    <w:rsid w:val="00091DA0"/>
    <w:rsid w:val="000A564E"/>
    <w:rsid w:val="001020DF"/>
    <w:rsid w:val="0011594B"/>
    <w:rsid w:val="00120A8A"/>
    <w:rsid w:val="001251B3"/>
    <w:rsid w:val="00132552"/>
    <w:rsid w:val="00134650"/>
    <w:rsid w:val="00164976"/>
    <w:rsid w:val="001A2E5F"/>
    <w:rsid w:val="001D3EE9"/>
    <w:rsid w:val="001E2AD6"/>
    <w:rsid w:val="001E3C08"/>
    <w:rsid w:val="001F0DB0"/>
    <w:rsid w:val="00220B5C"/>
    <w:rsid w:val="00230869"/>
    <w:rsid w:val="002330BC"/>
    <w:rsid w:val="00242271"/>
    <w:rsid w:val="00253E6B"/>
    <w:rsid w:val="0027306E"/>
    <w:rsid w:val="00293529"/>
    <w:rsid w:val="002B05B0"/>
    <w:rsid w:val="002B7ECF"/>
    <w:rsid w:val="002C2064"/>
    <w:rsid w:val="002C5EAF"/>
    <w:rsid w:val="002E0C51"/>
    <w:rsid w:val="003142DB"/>
    <w:rsid w:val="003609CB"/>
    <w:rsid w:val="00381F1E"/>
    <w:rsid w:val="00382CA0"/>
    <w:rsid w:val="00383ADA"/>
    <w:rsid w:val="003A4FC2"/>
    <w:rsid w:val="003A6101"/>
    <w:rsid w:val="003D79F2"/>
    <w:rsid w:val="003E6291"/>
    <w:rsid w:val="003F7E83"/>
    <w:rsid w:val="00417E80"/>
    <w:rsid w:val="00433B18"/>
    <w:rsid w:val="0044657C"/>
    <w:rsid w:val="004639D3"/>
    <w:rsid w:val="00485255"/>
    <w:rsid w:val="004C24C7"/>
    <w:rsid w:val="004D2007"/>
    <w:rsid w:val="004E2321"/>
    <w:rsid w:val="00515F8C"/>
    <w:rsid w:val="005273EF"/>
    <w:rsid w:val="0054339B"/>
    <w:rsid w:val="00553A62"/>
    <w:rsid w:val="0055793E"/>
    <w:rsid w:val="005B67AD"/>
    <w:rsid w:val="005C4786"/>
    <w:rsid w:val="005E0248"/>
    <w:rsid w:val="00610CA9"/>
    <w:rsid w:val="00626F30"/>
    <w:rsid w:val="00650860"/>
    <w:rsid w:val="00677384"/>
    <w:rsid w:val="00684F78"/>
    <w:rsid w:val="00694988"/>
    <w:rsid w:val="006F5C97"/>
    <w:rsid w:val="00721113"/>
    <w:rsid w:val="00723849"/>
    <w:rsid w:val="00763D80"/>
    <w:rsid w:val="00776D43"/>
    <w:rsid w:val="00783B84"/>
    <w:rsid w:val="007856FF"/>
    <w:rsid w:val="007B3F78"/>
    <w:rsid w:val="007B4299"/>
    <w:rsid w:val="007B58FB"/>
    <w:rsid w:val="007E33A1"/>
    <w:rsid w:val="00816BCE"/>
    <w:rsid w:val="00835EC1"/>
    <w:rsid w:val="0084738E"/>
    <w:rsid w:val="00861EF4"/>
    <w:rsid w:val="00866E5A"/>
    <w:rsid w:val="00882BE4"/>
    <w:rsid w:val="00891265"/>
    <w:rsid w:val="008C17DF"/>
    <w:rsid w:val="008D1AE5"/>
    <w:rsid w:val="00921620"/>
    <w:rsid w:val="009470BD"/>
    <w:rsid w:val="00961EB7"/>
    <w:rsid w:val="00964F53"/>
    <w:rsid w:val="00985BD6"/>
    <w:rsid w:val="009B640D"/>
    <w:rsid w:val="009C3A45"/>
    <w:rsid w:val="009D0604"/>
    <w:rsid w:val="009E56ED"/>
    <w:rsid w:val="00A232C8"/>
    <w:rsid w:val="00A416A7"/>
    <w:rsid w:val="00A6228B"/>
    <w:rsid w:val="00A64717"/>
    <w:rsid w:val="00A840F7"/>
    <w:rsid w:val="00A842D6"/>
    <w:rsid w:val="00A86A0B"/>
    <w:rsid w:val="00AD6D9C"/>
    <w:rsid w:val="00AE627C"/>
    <w:rsid w:val="00B1734B"/>
    <w:rsid w:val="00BC67F2"/>
    <w:rsid w:val="00BE6AF5"/>
    <w:rsid w:val="00C03091"/>
    <w:rsid w:val="00C21392"/>
    <w:rsid w:val="00C219A9"/>
    <w:rsid w:val="00C50FBC"/>
    <w:rsid w:val="00C84EF2"/>
    <w:rsid w:val="00C868E8"/>
    <w:rsid w:val="00C96201"/>
    <w:rsid w:val="00CD5748"/>
    <w:rsid w:val="00CF22FD"/>
    <w:rsid w:val="00D357AE"/>
    <w:rsid w:val="00D40CAB"/>
    <w:rsid w:val="00D578F4"/>
    <w:rsid w:val="00D71B06"/>
    <w:rsid w:val="00D85788"/>
    <w:rsid w:val="00D85FE9"/>
    <w:rsid w:val="00D97799"/>
    <w:rsid w:val="00DA2390"/>
    <w:rsid w:val="00DE0830"/>
    <w:rsid w:val="00E018CF"/>
    <w:rsid w:val="00E4285B"/>
    <w:rsid w:val="00E63516"/>
    <w:rsid w:val="00E76267"/>
    <w:rsid w:val="00E943B9"/>
    <w:rsid w:val="00F40C65"/>
    <w:rsid w:val="00F612E5"/>
    <w:rsid w:val="00F65635"/>
    <w:rsid w:val="00F87210"/>
    <w:rsid w:val="00FD6903"/>
    <w:rsid w:val="00FE2130"/>
    <w:rsid w:val="00FE51A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3F7E8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Ttulo2Char"/>
    <w:uiPriority w:val="9"/>
    <w:qFormat/>
    <w:rsid w:val="003F7E8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Ttulo3Char"/>
    <w:uiPriority w:val="9"/>
    <w:qFormat/>
    <w:rsid w:val="003F7E8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0A5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0A56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0A564E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0A564E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A5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A564E"/>
  </w:style>
  <w:style w:type="paragraph" w:customStyle="1" w:styleId="paragrafo">
    <w:name w:val="paragrafo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35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7AE"/>
    <w:rPr>
      <w:color w:val="0000FF"/>
      <w:u w:val="single"/>
    </w:rPr>
  </w:style>
  <w:style w:type="paragraph" w:customStyle="1" w:styleId="texto1">
    <w:name w:val="texto1"/>
    <w:basedOn w:val="Normal"/>
    <w:rsid w:val="00D357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66E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A61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A6101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433B18"/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433B18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433B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DefaultParagraphFont"/>
    <w:link w:val="Heading1"/>
    <w:uiPriority w:val="9"/>
    <w:rsid w:val="003F7E8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rsid w:val="003F7E8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DefaultParagraphFont"/>
    <w:link w:val="Heading3"/>
    <w:uiPriority w:val="9"/>
    <w:rsid w:val="003F7E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35F3-804C-4313-BAF1-6AD80000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1955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12</cp:revision>
  <cp:lastPrinted>2021-10-07T16:56:00Z</cp:lastPrinted>
  <dcterms:created xsi:type="dcterms:W3CDTF">2022-06-07T18:28:00Z</dcterms:created>
  <dcterms:modified xsi:type="dcterms:W3CDTF">2022-06-09T18:56:00Z</dcterms:modified>
</cp:coreProperties>
</file>