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237B5B" w:rsidRPr="000E2243" w:rsidP="00237B5B">
      <w:pPr>
        <w:spacing w:line="360" w:lineRule="auto"/>
        <w:ind w:left="1200"/>
        <w:jc w:val="both"/>
        <w:rPr>
          <w:rFonts w:cs="Arial"/>
          <w:color w:val="000000"/>
          <w:szCs w:val="24"/>
        </w:rPr>
      </w:pPr>
      <w:r w:rsidRPr="000E2243">
        <w:rPr>
          <w:rFonts w:cs="Arial"/>
          <w:color w:val="000000"/>
          <w:szCs w:val="24"/>
        </w:rPr>
        <w:t xml:space="preserve">Altera a redação do art. 3º, incluindo clausula proibitiva para        realização do REFIS para os débitos já parcelados, altera a redação do art. 4º, modificando a tabela de desconto sobre multas e juros, bem como as condições de pagamento, altera a redação do 5º, </w:t>
      </w:r>
      <w:r w:rsidRPr="000E2243">
        <w:rPr>
          <w:rFonts w:eastAsia="Calibri" w:cs="Arial"/>
          <w:color w:val="202124"/>
          <w:szCs w:val="24"/>
          <w:shd w:val="clear" w:color="auto" w:fill="FFFFFF"/>
          <w:lang w:eastAsia="en-US"/>
        </w:rPr>
        <w:t>§ 1º, incluindo dispositivo que estabelece que o devedor do REFIS será notificado previamente sobre sua exclusão do programa</w:t>
      </w:r>
      <w:r w:rsidRPr="000E2243">
        <w:rPr>
          <w:rFonts w:cs="Arial"/>
          <w:color w:val="000000"/>
          <w:szCs w:val="24"/>
        </w:rPr>
        <w:t>.</w:t>
      </w:r>
    </w:p>
    <w:p w:rsidR="00237B5B" w:rsidP="00237B5B">
      <w:pPr>
        <w:widowControl w:val="0"/>
        <w:jc w:val="both"/>
        <w:rPr>
          <w:rFonts w:cs="Arial"/>
          <w:b/>
          <w:bCs/>
          <w:szCs w:val="24"/>
        </w:rPr>
      </w:pPr>
    </w:p>
    <w:p w:rsidR="00237B5B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237B5B" w:rsidRPr="00237B5B" w:rsidP="005236E3">
      <w:pPr>
        <w:spacing w:after="160" w:line="360" w:lineRule="auto"/>
        <w:ind w:firstLine="1701"/>
        <w:jc w:val="both"/>
        <w:rPr>
          <w:rFonts w:eastAsia="Calibri" w:cs="Arial"/>
          <w:szCs w:val="24"/>
          <w:lang w:eastAsia="en-US"/>
        </w:rPr>
      </w:pPr>
      <w:r w:rsidRPr="00237B5B">
        <w:rPr>
          <w:rFonts w:eastAsia="Calibri" w:cs="Arial"/>
          <w:szCs w:val="24"/>
          <w:lang w:eastAsia="en-US"/>
        </w:rPr>
        <w:t xml:space="preserve">A </w:t>
      </w:r>
      <w:r>
        <w:rPr>
          <w:rFonts w:eastAsia="Calibri" w:cs="Arial"/>
          <w:b/>
          <w:szCs w:val="24"/>
          <w:lang w:eastAsia="en-US"/>
        </w:rPr>
        <w:t>Comissão de Finanças e Orçamento</w:t>
      </w:r>
      <w:r>
        <w:rPr>
          <w:rFonts w:eastAsia="Calibri" w:cs="Arial"/>
          <w:szCs w:val="24"/>
          <w:lang w:eastAsia="en-US"/>
        </w:rPr>
        <w:t>,</w:t>
      </w:r>
      <w:r w:rsidR="000E2243">
        <w:rPr>
          <w:rFonts w:eastAsia="Calibri" w:cs="Arial"/>
          <w:szCs w:val="24"/>
          <w:lang w:eastAsia="en-US"/>
        </w:rPr>
        <w:t xml:space="preserve"> </w:t>
      </w:r>
      <w:r w:rsidRPr="00237B5B">
        <w:rPr>
          <w:rFonts w:eastAsia="Calibri" w:cs="Arial"/>
          <w:szCs w:val="24"/>
          <w:lang w:eastAsia="en-US"/>
        </w:rPr>
        <w:t>nos termos regimentais, para a devida apreciação e votação em Plenário, a presente emenda ao Projeto de Lei nº 96/2022, que “Dispõe sobre o Programa de Recuperação Fiscal – REFIS do Departamento de Aguas e Esgotos de Valinhos – DAEV, na forma e condições que es</w:t>
      </w:r>
      <w:r>
        <w:rPr>
          <w:rFonts w:eastAsia="Calibri" w:cs="Arial"/>
          <w:szCs w:val="24"/>
          <w:lang w:eastAsia="en-US"/>
        </w:rPr>
        <w:t>pecifica”, nos seguintes termos.</w:t>
      </w:r>
    </w:p>
    <w:p w:rsidR="005F6B61" w:rsidRPr="00CE42E0" w:rsidP="005236E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66CF2" w:rsidRPr="005236E3" w:rsidP="005236E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236E3">
        <w:rPr>
          <w:rFonts w:cs="Arial"/>
          <w:b/>
          <w:bCs/>
          <w:szCs w:val="24"/>
        </w:rPr>
        <w:t>Justificativa</w:t>
      </w:r>
    </w:p>
    <w:p w:rsidR="00274576" w:rsidRPr="00866CF2" w:rsidP="005236E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237B5B" w:rsidP="005236E3">
      <w:pPr>
        <w:spacing w:line="360" w:lineRule="auto"/>
        <w:ind w:firstLine="1701"/>
        <w:jc w:val="both"/>
        <w:rPr>
          <w:rFonts w:eastAsia="Calibri" w:cs="Arial"/>
          <w:color w:val="202124"/>
          <w:szCs w:val="24"/>
          <w:shd w:val="clear" w:color="auto" w:fill="FFFFFF"/>
          <w:lang w:eastAsia="en-US"/>
        </w:rPr>
      </w:pPr>
      <w:r w:rsidRPr="00237B5B">
        <w:rPr>
          <w:rFonts w:eastAsia="Calibri" w:cs="Arial"/>
          <w:szCs w:val="24"/>
          <w:lang w:eastAsia="en-US"/>
        </w:rPr>
        <w:t xml:space="preserve">A presente emenda visa modificar </w:t>
      </w:r>
      <w:r w:rsidRPr="00237B5B">
        <w:rPr>
          <w:rFonts w:cs="Arial"/>
          <w:color w:val="000000"/>
          <w:szCs w:val="24"/>
        </w:rPr>
        <w:t xml:space="preserve">a redação do Projeto de Lei </w:t>
      </w:r>
      <w:r w:rsidRPr="00237B5B">
        <w:rPr>
          <w:rFonts w:eastAsia="Calibri" w:cs="Arial"/>
          <w:szCs w:val="24"/>
          <w:lang w:eastAsia="en-US"/>
        </w:rPr>
        <w:t xml:space="preserve">nº </w:t>
      </w:r>
      <w:r w:rsidRPr="00237B5B">
        <w:rPr>
          <w:rFonts w:cs="Arial"/>
          <w:color w:val="000000"/>
          <w:szCs w:val="24"/>
        </w:rPr>
        <w:t>96/2022, em especial do art. 3º, art. 4º</w:t>
      </w:r>
      <w:r w:rsidR="00B131CE">
        <w:rPr>
          <w:rFonts w:cs="Arial"/>
          <w:color w:val="000000"/>
          <w:szCs w:val="24"/>
        </w:rPr>
        <w:t xml:space="preserve"> </w:t>
      </w:r>
      <w:r w:rsidR="00B131CE">
        <w:rPr>
          <w:rFonts w:eastAsia="Calibri" w:cs="Arial"/>
          <w:color w:val="202124"/>
          <w:szCs w:val="24"/>
          <w:shd w:val="clear" w:color="auto" w:fill="FFFFFF"/>
          <w:lang w:eastAsia="en-US"/>
        </w:rPr>
        <w:t xml:space="preserve"> </w:t>
      </w:r>
      <w:r w:rsidRPr="00237B5B">
        <w:rPr>
          <w:rFonts w:cs="Arial"/>
          <w:color w:val="000000"/>
          <w:szCs w:val="24"/>
        </w:rPr>
        <w:t xml:space="preserve">e art. 5º, </w:t>
      </w:r>
      <w:r w:rsidRPr="00237B5B">
        <w:rPr>
          <w:rFonts w:eastAsia="Calibri" w:cs="Arial"/>
          <w:color w:val="202124"/>
          <w:szCs w:val="24"/>
          <w:shd w:val="clear" w:color="auto" w:fill="FFFFFF"/>
          <w:lang w:eastAsia="en-US"/>
        </w:rPr>
        <w:t>§ 1º.</w:t>
      </w:r>
    </w:p>
    <w:p w:rsidR="00237B5B" w:rsidP="005236E3">
      <w:pPr>
        <w:spacing w:line="360" w:lineRule="auto"/>
        <w:ind w:firstLine="1701"/>
        <w:jc w:val="both"/>
        <w:rPr>
          <w:rFonts w:eastAsia="Calibri" w:cs="Arial"/>
          <w:color w:val="202124"/>
          <w:szCs w:val="24"/>
          <w:shd w:val="clear" w:color="auto" w:fill="FFFFFF"/>
          <w:lang w:eastAsia="en-US"/>
        </w:rPr>
      </w:pPr>
      <w:r>
        <w:rPr>
          <w:rFonts w:eastAsia="Calibri" w:cs="Arial"/>
          <w:color w:val="202124"/>
          <w:szCs w:val="24"/>
          <w:shd w:val="clear" w:color="auto" w:fill="FFFFFF"/>
          <w:lang w:eastAsia="en-US"/>
        </w:rPr>
        <w:t>A redação do “caput” do art.3º  fica da seguinte forma:</w:t>
      </w:r>
    </w:p>
    <w:p w:rsidR="00B131CE" w:rsidP="005236E3">
      <w:pPr>
        <w:spacing w:line="360" w:lineRule="auto"/>
        <w:ind w:firstLine="1701"/>
        <w:jc w:val="both"/>
        <w:rPr>
          <w:rFonts w:eastAsia="Calibri" w:cs="Arial"/>
          <w:color w:val="202124"/>
          <w:szCs w:val="24"/>
          <w:shd w:val="clear" w:color="auto" w:fill="FFFFFF"/>
          <w:lang w:eastAsia="en-US"/>
        </w:rPr>
      </w:pPr>
    </w:p>
    <w:p w:rsidR="00274576" w:rsidP="005236E3">
      <w:pPr>
        <w:spacing w:line="360" w:lineRule="auto"/>
        <w:ind w:right="566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color w:val="202124"/>
          <w:szCs w:val="24"/>
          <w:shd w:val="clear" w:color="auto" w:fill="FFFFFF"/>
          <w:lang w:eastAsia="en-US"/>
        </w:rPr>
        <w:t xml:space="preserve">                        </w:t>
      </w:r>
      <w:r w:rsidRPr="00274576">
        <w:rPr>
          <w:rFonts w:eastAsia="Calibri" w:cs="Arial"/>
          <w:b/>
          <w:szCs w:val="24"/>
          <w:lang w:eastAsia="en-US"/>
        </w:rPr>
        <w:t xml:space="preserve">Art. 3º.  </w:t>
      </w:r>
      <w:r w:rsidRPr="00274576">
        <w:rPr>
          <w:rFonts w:eastAsia="Calibri" w:cs="Arial"/>
          <w:szCs w:val="24"/>
          <w:lang w:eastAsia="en-US"/>
        </w:rPr>
        <w:t>Poderão ser beneficiad</w:t>
      </w:r>
      <w:r w:rsidR="005236E3">
        <w:rPr>
          <w:rFonts w:eastAsia="Calibri" w:cs="Arial"/>
          <w:szCs w:val="24"/>
          <w:lang w:eastAsia="en-US"/>
        </w:rPr>
        <w:t xml:space="preserve">os pelo REFIS, contribuintes </w:t>
      </w:r>
      <w:r w:rsidRPr="00274576">
        <w:rPr>
          <w:rFonts w:eastAsia="Calibri" w:cs="Arial"/>
          <w:szCs w:val="24"/>
          <w:lang w:eastAsia="en-US"/>
        </w:rPr>
        <w:t xml:space="preserve">físicos, jurídicos, de direito publico ou privado, inclusive contribuintes em recuperação judicial, excetuando-se apenas da possibilidade do REFIS os débitos que já se encontram parcelados. Para aderirem ao REFIS os </w:t>
      </w:r>
      <w:r w:rsidRPr="00274576">
        <w:rPr>
          <w:rFonts w:eastAsia="Calibri" w:cs="Arial"/>
          <w:szCs w:val="24"/>
          <w:lang w:eastAsia="en-US"/>
        </w:rPr>
        <w:t>interessados deverão requerer o beneficio junto ao DAEV, no prazo 90 (noventa) dias, contados da vigência desta lei.</w:t>
      </w:r>
    </w:p>
    <w:p w:rsidR="004C7B23" w:rsidP="005236E3">
      <w:pPr>
        <w:spacing w:line="360" w:lineRule="auto"/>
        <w:ind w:firstLine="1701"/>
        <w:jc w:val="both"/>
        <w:rPr>
          <w:rFonts w:eastAsia="Calibri" w:cs="Arial"/>
          <w:color w:val="202124"/>
          <w:szCs w:val="24"/>
          <w:shd w:val="clear" w:color="auto" w:fill="FFFFFF"/>
          <w:lang w:eastAsia="en-US"/>
        </w:rPr>
      </w:pPr>
      <w:r>
        <w:rPr>
          <w:rFonts w:eastAsia="Calibri" w:cs="Arial"/>
          <w:color w:val="202124"/>
          <w:szCs w:val="24"/>
          <w:shd w:val="clear" w:color="auto" w:fill="FFFFFF"/>
          <w:lang w:eastAsia="en-US"/>
        </w:rPr>
        <w:t xml:space="preserve">A redação do “caput” do art.4º fica da seguinte forma, incluído </w:t>
      </w:r>
      <w:r w:rsidRPr="00274576">
        <w:rPr>
          <w:rFonts w:eastAsia="Calibri" w:cs="Arial"/>
          <w:color w:val="202124"/>
          <w:szCs w:val="24"/>
          <w:shd w:val="clear" w:color="auto" w:fill="FFFFFF"/>
          <w:lang w:eastAsia="en-US"/>
        </w:rPr>
        <w:t>§</w:t>
      </w:r>
      <w:r w:rsidR="00B131CE">
        <w:rPr>
          <w:rFonts w:eastAsia="Calibri" w:cs="Arial"/>
          <w:color w:val="202124"/>
          <w:szCs w:val="24"/>
          <w:shd w:val="clear" w:color="auto" w:fill="FFFFFF"/>
          <w:lang w:eastAsia="en-US"/>
        </w:rPr>
        <w:t xml:space="preserve"> 1º</w:t>
      </w:r>
      <w:r w:rsidR="000D1672">
        <w:rPr>
          <w:rFonts w:eastAsia="Calibri" w:cs="Arial"/>
          <w:color w:val="202124"/>
          <w:szCs w:val="24"/>
          <w:shd w:val="clear" w:color="auto" w:fill="FFFFFF"/>
          <w:lang w:eastAsia="en-US"/>
        </w:rPr>
        <w:t>.</w:t>
      </w:r>
    </w:p>
    <w:p w:rsidR="004C7B23" w:rsidP="005236E3">
      <w:pPr>
        <w:spacing w:line="360" w:lineRule="auto"/>
        <w:ind w:firstLine="1701"/>
        <w:jc w:val="both"/>
        <w:rPr>
          <w:rFonts w:eastAsia="Calibri" w:cs="Arial"/>
          <w:color w:val="202124"/>
          <w:szCs w:val="24"/>
          <w:shd w:val="clear" w:color="auto" w:fill="FFFFFF"/>
          <w:lang w:eastAsia="en-US"/>
        </w:rPr>
      </w:pPr>
      <w:r>
        <w:rPr>
          <w:rFonts w:eastAsia="Calibri" w:cs="Arial"/>
          <w:color w:val="202124"/>
          <w:szCs w:val="24"/>
          <w:shd w:val="clear" w:color="auto" w:fill="FFFFFF"/>
          <w:lang w:eastAsia="en-US"/>
        </w:rPr>
        <w:t>Renumerando os demais:</w:t>
      </w:r>
    </w:p>
    <w:p w:rsidR="00B131CE" w:rsidP="005236E3">
      <w:pPr>
        <w:spacing w:line="360" w:lineRule="auto"/>
        <w:ind w:firstLine="1701"/>
        <w:jc w:val="both"/>
        <w:rPr>
          <w:rFonts w:eastAsia="Calibri" w:cs="Arial"/>
          <w:color w:val="202124"/>
          <w:szCs w:val="24"/>
          <w:shd w:val="clear" w:color="auto" w:fill="FFFFFF"/>
          <w:lang w:eastAsia="en-US"/>
        </w:rPr>
      </w:pPr>
      <w:r>
        <w:rPr>
          <w:rFonts w:eastAsia="Calibri" w:cs="Arial"/>
          <w:color w:val="202124"/>
          <w:szCs w:val="24"/>
          <w:shd w:val="clear" w:color="auto" w:fill="FFFFFF"/>
          <w:lang w:eastAsia="en-US"/>
        </w:rPr>
        <w:tab/>
      </w:r>
      <w:r>
        <w:rPr>
          <w:rFonts w:eastAsia="Calibri" w:cs="Arial"/>
          <w:color w:val="202124"/>
          <w:szCs w:val="24"/>
          <w:shd w:val="clear" w:color="auto" w:fill="FFFFFF"/>
          <w:lang w:eastAsia="en-US"/>
        </w:rPr>
        <w:tab/>
        <w:t xml:space="preserve">    </w:t>
      </w:r>
    </w:p>
    <w:p w:rsidR="00B131CE" w:rsidP="005236E3">
      <w:pPr>
        <w:spacing w:line="360" w:lineRule="auto"/>
        <w:ind w:firstLine="1701"/>
        <w:jc w:val="both"/>
        <w:rPr>
          <w:rFonts w:eastAsia="Calibri" w:cs="Arial"/>
          <w:szCs w:val="24"/>
          <w:lang w:eastAsia="en-US"/>
        </w:rPr>
      </w:pPr>
      <w:r w:rsidRPr="00B131CE">
        <w:rPr>
          <w:rFonts w:eastAsia="Calibri" w:cs="Arial"/>
          <w:b/>
          <w:szCs w:val="24"/>
          <w:lang w:eastAsia="en-US"/>
        </w:rPr>
        <w:t>Art. 4º.</w:t>
      </w:r>
      <w:r w:rsidRPr="00B131CE">
        <w:rPr>
          <w:rFonts w:eastAsia="Calibri" w:cs="Arial"/>
          <w:szCs w:val="24"/>
          <w:lang w:eastAsia="en-US"/>
        </w:rPr>
        <w:t xml:space="preserve"> Os débitos de que trata a presente lei e incluídos ao REFIS</w:t>
      </w:r>
      <w:r>
        <w:rPr>
          <w:rFonts w:eastAsia="Calibri" w:cs="Arial"/>
          <w:szCs w:val="24"/>
          <w:lang w:eastAsia="en-US"/>
        </w:rPr>
        <w:t xml:space="preserve"> </w:t>
      </w:r>
      <w:r w:rsidRPr="00B131CE">
        <w:rPr>
          <w:rFonts w:cs="Arial"/>
          <w:color w:val="000000"/>
          <w:szCs w:val="24"/>
        </w:rPr>
        <w:t>/</w:t>
      </w:r>
      <w:r w:rsidRPr="00B131CE">
        <w:rPr>
          <w:rFonts w:eastAsia="Calibri" w:cs="Arial"/>
          <w:szCs w:val="24"/>
          <w:lang w:eastAsia="en-US"/>
        </w:rPr>
        <w:t>2022, poderão ser pagos em cota única ou em parcelas mensais e sucessivas, com descontos de ate 100% (cem por cento) de multas e juros, observando-se o valor da parcela mínima praticada pelo Departamento de Aguas e Esgotos de Valinhos – DAEV, conforme Resolução da ARES-PCJ nº. 400, de 26 de novembro de 2021:</w:t>
      </w:r>
    </w:p>
    <w:p w:rsidR="00B131CE" w:rsidP="005236E3">
      <w:pPr>
        <w:spacing w:line="360" w:lineRule="auto"/>
        <w:ind w:firstLine="1701"/>
        <w:jc w:val="both"/>
        <w:rPr>
          <w:rFonts w:eastAsia="Calibri" w:cs="Arial"/>
          <w:szCs w:val="24"/>
          <w:lang w:eastAsia="en-US"/>
        </w:rPr>
      </w:pPr>
      <w:r w:rsidRPr="00B131CE"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§ 1º</w:t>
      </w:r>
      <w:r>
        <w:rPr>
          <w:rFonts w:eastAsia="Calibri" w:cs="Arial"/>
          <w:color w:val="202124"/>
          <w:szCs w:val="24"/>
          <w:shd w:val="clear" w:color="auto" w:fill="FFFFFF"/>
          <w:lang w:eastAsia="en-US"/>
        </w:rPr>
        <w:t xml:space="preserve"> P</w:t>
      </w:r>
      <w:r w:rsidRPr="00B131CE">
        <w:rPr>
          <w:rFonts w:eastAsia="Calibri" w:cs="Arial"/>
          <w:szCs w:val="24"/>
          <w:lang w:eastAsia="en-US"/>
        </w:rPr>
        <w:t>ara pagamento a vista, neste considera</w:t>
      </w:r>
      <w:r>
        <w:rPr>
          <w:rFonts w:eastAsia="Calibri" w:cs="Arial"/>
          <w:szCs w:val="24"/>
          <w:lang w:eastAsia="en-US"/>
        </w:rPr>
        <w:t xml:space="preserve">do pagamento em ate 30 (trinta) </w:t>
      </w:r>
      <w:r w:rsidRPr="00B131CE">
        <w:rPr>
          <w:rFonts w:eastAsia="Calibri" w:cs="Arial"/>
          <w:szCs w:val="24"/>
          <w:lang w:eastAsia="en-US"/>
        </w:rPr>
        <w:t xml:space="preserve">dias contados da </w:t>
      </w:r>
      <w:r w:rsidRPr="00B131CE">
        <w:rPr>
          <w:rFonts w:cs="Arial"/>
          <w:color w:val="000000"/>
          <w:szCs w:val="24"/>
        </w:rPr>
        <w:t>pactuação</w:t>
      </w:r>
      <w:r w:rsidRPr="00B131CE">
        <w:rPr>
          <w:rFonts w:eastAsia="Calibri" w:cs="Arial"/>
          <w:szCs w:val="24"/>
          <w:lang w:eastAsia="en-US"/>
        </w:rPr>
        <w:t xml:space="preserve"> do acordo, independente do valor do debito, será concedido desconto de 100% (cem por cento) de multas e juros. </w:t>
      </w:r>
    </w:p>
    <w:p w:rsidR="00B131CE" w:rsidRPr="00B131CE" w:rsidP="005236E3">
      <w:pPr>
        <w:spacing w:line="360" w:lineRule="auto"/>
        <w:ind w:firstLine="1701"/>
        <w:jc w:val="both"/>
        <w:rPr>
          <w:rFonts w:eastAsia="Calibri" w:cs="Arial"/>
          <w:color w:val="202124"/>
          <w:szCs w:val="24"/>
          <w:shd w:val="clear" w:color="auto" w:fill="FFFFFF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972"/>
        <w:gridCol w:w="2387"/>
        <w:gridCol w:w="2681"/>
      </w:tblGrid>
      <w:tr w:rsidTr="00B131CE">
        <w:tblPrEx>
          <w:tblW w:w="0" w:type="auto"/>
          <w:jc w:val="center"/>
          <w:tblLook w:val="04A0"/>
        </w:tblPrEx>
        <w:trPr>
          <w:trHeight w:val="708"/>
          <w:jc w:val="center"/>
        </w:trPr>
        <w:tc>
          <w:tcPr>
            <w:tcW w:w="8040" w:type="dxa"/>
            <w:gridSpan w:val="3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</w:p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Desconto sobre Multas e Juros</w:t>
            </w:r>
            <w:r w:rsidRPr="00B131CE">
              <w:rPr>
                <w:rFonts w:cs="Arial"/>
                <w:b/>
                <w:color w:val="000000"/>
                <w:szCs w:val="24"/>
              </w:rPr>
              <w:t>/Condições de Pactuação</w:t>
            </w:r>
          </w:p>
        </w:tc>
      </w:tr>
      <w:tr w:rsidTr="00B131C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72" w:type="dxa"/>
          </w:tcPr>
          <w:p w:rsidR="00B131CE" w:rsidRPr="00B131CE" w:rsidP="005236E3">
            <w:pPr>
              <w:spacing w:line="276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</w:p>
          <w:p w:rsidR="00B131CE" w:rsidRPr="00B131CE" w:rsidP="005236E3">
            <w:pPr>
              <w:spacing w:line="276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Faixas de valores débitos com o DAEV</w:t>
            </w:r>
          </w:p>
        </w:tc>
        <w:tc>
          <w:tcPr>
            <w:tcW w:w="2387" w:type="dxa"/>
          </w:tcPr>
          <w:p w:rsidR="00B131CE" w:rsidRPr="00B131CE" w:rsidP="005236E3">
            <w:pPr>
              <w:spacing w:line="276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</w:p>
          <w:p w:rsidR="00B131CE" w:rsidRPr="00B131CE" w:rsidP="005236E3">
            <w:pPr>
              <w:spacing w:line="276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Desconto de multas e juros</w:t>
            </w:r>
          </w:p>
        </w:tc>
        <w:tc>
          <w:tcPr>
            <w:tcW w:w="2681" w:type="dxa"/>
          </w:tcPr>
          <w:p w:rsidR="00B131CE" w:rsidRPr="00B131CE" w:rsidP="005236E3">
            <w:pPr>
              <w:spacing w:line="276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</w:p>
          <w:p w:rsidR="00B131CE" w:rsidRPr="00B131CE" w:rsidP="005236E3">
            <w:pPr>
              <w:spacing w:line="276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Nº Parcelas</w:t>
            </w:r>
          </w:p>
        </w:tc>
      </w:tr>
      <w:tr w:rsidTr="00B131C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72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Ate 5 UFMV</w:t>
            </w:r>
          </w:p>
        </w:tc>
        <w:tc>
          <w:tcPr>
            <w:tcW w:w="2387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90%</w:t>
            </w:r>
          </w:p>
        </w:tc>
        <w:tc>
          <w:tcPr>
            <w:tcW w:w="2681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Ate 15 parcelas</w:t>
            </w:r>
          </w:p>
        </w:tc>
      </w:tr>
      <w:tr w:rsidTr="00B131C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72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De 5,01 a 10 UFMV</w:t>
            </w:r>
          </w:p>
        </w:tc>
        <w:tc>
          <w:tcPr>
            <w:tcW w:w="2387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80%</w:t>
            </w:r>
          </w:p>
        </w:tc>
        <w:tc>
          <w:tcPr>
            <w:tcW w:w="2681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Ate 30 parcelas</w:t>
            </w:r>
          </w:p>
        </w:tc>
      </w:tr>
      <w:tr w:rsidTr="00B131C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72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De 10,01 a 15 UFMV</w:t>
            </w:r>
          </w:p>
        </w:tc>
        <w:tc>
          <w:tcPr>
            <w:tcW w:w="2387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70%</w:t>
            </w:r>
          </w:p>
        </w:tc>
        <w:tc>
          <w:tcPr>
            <w:tcW w:w="2681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Ate 45 parcelas</w:t>
            </w:r>
          </w:p>
        </w:tc>
      </w:tr>
      <w:tr w:rsidTr="00B131C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972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Acima de 15,01 UFMV</w:t>
            </w:r>
          </w:p>
        </w:tc>
        <w:tc>
          <w:tcPr>
            <w:tcW w:w="2387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50%</w:t>
            </w:r>
          </w:p>
        </w:tc>
        <w:tc>
          <w:tcPr>
            <w:tcW w:w="2681" w:type="dxa"/>
          </w:tcPr>
          <w:p w:rsidR="00B131CE" w:rsidRPr="00B131CE" w:rsidP="005236E3">
            <w:pPr>
              <w:spacing w:line="360" w:lineRule="auto"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131CE">
              <w:rPr>
                <w:rFonts w:eastAsia="Calibri" w:cs="Arial"/>
                <w:b/>
                <w:szCs w:val="24"/>
                <w:lang w:eastAsia="en-US"/>
              </w:rPr>
              <w:t>Ate 60 parcelas</w:t>
            </w:r>
          </w:p>
        </w:tc>
      </w:tr>
    </w:tbl>
    <w:p w:rsidR="004C7B23" w:rsidP="004C7B2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C7B23" w:rsidP="004C7B23">
      <w:pPr>
        <w:spacing w:line="360" w:lineRule="auto"/>
        <w:ind w:left="567" w:right="566"/>
        <w:jc w:val="both"/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</w:pP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§ 2</w:t>
      </w:r>
      <w:r w:rsidRPr="00B131CE"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º</w:t>
      </w: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 w:cs="Arial"/>
          <w:b/>
          <w:szCs w:val="24"/>
          <w:lang w:eastAsia="en-US"/>
        </w:rPr>
        <w:t>[...]</w:t>
      </w:r>
    </w:p>
    <w:p w:rsidR="004C7B23" w:rsidP="004C7B23">
      <w:pPr>
        <w:spacing w:line="360" w:lineRule="auto"/>
        <w:ind w:left="567" w:right="566"/>
        <w:jc w:val="both"/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</w:pPr>
      <w:r w:rsidRPr="00B131CE"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 xml:space="preserve">§ </w:t>
      </w: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3</w:t>
      </w:r>
      <w:r w:rsidRPr="00B131CE"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º</w:t>
      </w: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 w:cs="Arial"/>
          <w:b/>
          <w:szCs w:val="24"/>
          <w:lang w:eastAsia="en-US"/>
        </w:rPr>
        <w:t>[...]</w:t>
      </w:r>
    </w:p>
    <w:p w:rsidR="004C7B23" w:rsidP="004C7B23">
      <w:pPr>
        <w:spacing w:line="360" w:lineRule="auto"/>
        <w:ind w:left="567" w:right="566"/>
        <w:jc w:val="both"/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</w:pP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§ 4</w:t>
      </w:r>
      <w:r w:rsidRPr="00B131CE"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º</w:t>
      </w: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 w:cs="Arial"/>
          <w:b/>
          <w:szCs w:val="24"/>
          <w:lang w:eastAsia="en-US"/>
        </w:rPr>
        <w:t>[...]</w:t>
      </w:r>
    </w:p>
    <w:p w:rsidR="004C7B23" w:rsidP="004C7B23">
      <w:pPr>
        <w:spacing w:line="360" w:lineRule="auto"/>
        <w:ind w:left="567" w:right="566"/>
        <w:jc w:val="both"/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</w:pP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§ 5</w:t>
      </w:r>
      <w:r w:rsidRPr="00B131CE"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>º</w:t>
      </w:r>
      <w:r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 w:cs="Arial"/>
          <w:b/>
          <w:szCs w:val="24"/>
          <w:lang w:eastAsia="en-US"/>
        </w:rPr>
        <w:t>[...]</w:t>
      </w:r>
    </w:p>
    <w:p w:rsidR="004C7B23" w:rsidRPr="00B131CE" w:rsidP="004C7B23">
      <w:pPr>
        <w:spacing w:line="360" w:lineRule="auto"/>
        <w:ind w:left="567" w:right="566"/>
        <w:jc w:val="both"/>
        <w:rPr>
          <w:rFonts w:eastAsia="Calibri" w:cs="Arial"/>
          <w:szCs w:val="24"/>
          <w:lang w:eastAsia="en-US"/>
        </w:rPr>
      </w:pPr>
    </w:p>
    <w:p w:rsidR="004C7B23" w:rsidP="004C7B2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131CE" w:rsidP="004C7B23">
      <w:pPr>
        <w:tabs>
          <w:tab w:val="left" w:pos="8222"/>
          <w:tab w:val="left" w:pos="8364"/>
        </w:tabs>
        <w:spacing w:line="360" w:lineRule="auto"/>
        <w:ind w:right="-1"/>
        <w:jc w:val="both"/>
        <w:rPr>
          <w:rFonts w:eastAsia="Calibri" w:cs="Arial"/>
          <w:szCs w:val="24"/>
          <w:lang w:eastAsia="en-US"/>
        </w:rPr>
      </w:pPr>
      <w:r>
        <w:rPr>
          <w:rFonts w:cs="Arial"/>
          <w:bCs/>
          <w:szCs w:val="24"/>
        </w:rPr>
        <w:t xml:space="preserve">                      </w:t>
      </w:r>
      <w:r w:rsidR="005236E3">
        <w:rPr>
          <w:rFonts w:eastAsia="Calibri" w:cs="Arial"/>
          <w:szCs w:val="24"/>
          <w:lang w:eastAsia="en-US"/>
        </w:rPr>
        <w:t xml:space="preserve">  </w:t>
      </w:r>
      <w:r w:rsidRPr="00B131CE">
        <w:rPr>
          <w:rFonts w:eastAsia="Calibri" w:cs="Arial"/>
          <w:szCs w:val="24"/>
          <w:lang w:eastAsia="en-US"/>
        </w:rPr>
        <w:t xml:space="preserve">A redação do </w:t>
      </w:r>
      <w:r w:rsidRPr="00B131CE">
        <w:rPr>
          <w:rFonts w:cs="Arial"/>
          <w:color w:val="000000"/>
          <w:szCs w:val="24"/>
        </w:rPr>
        <w:t xml:space="preserve">Projeto de Lei </w:t>
      </w:r>
      <w:r w:rsidRPr="00B131CE">
        <w:rPr>
          <w:rFonts w:eastAsia="Calibri" w:cs="Arial"/>
          <w:szCs w:val="24"/>
          <w:lang w:eastAsia="en-US"/>
        </w:rPr>
        <w:t xml:space="preserve">nº </w:t>
      </w:r>
      <w:r w:rsidRPr="00B131CE">
        <w:rPr>
          <w:rFonts w:cs="Arial"/>
          <w:color w:val="000000"/>
          <w:szCs w:val="24"/>
        </w:rPr>
        <w:t xml:space="preserve">96/2022, art. 5º, </w:t>
      </w:r>
      <w:r w:rsidRPr="00B131CE">
        <w:rPr>
          <w:rFonts w:eastAsia="Calibri" w:cs="Arial"/>
          <w:color w:val="202124"/>
          <w:szCs w:val="24"/>
          <w:shd w:val="clear" w:color="auto" w:fill="FFFFFF"/>
          <w:lang w:eastAsia="en-US"/>
        </w:rPr>
        <w:t xml:space="preserve">§ 1º, </w:t>
      </w:r>
      <w:r w:rsidRPr="00B131CE">
        <w:rPr>
          <w:rFonts w:eastAsia="Calibri" w:cs="Arial"/>
          <w:szCs w:val="24"/>
          <w:lang w:eastAsia="en-US"/>
        </w:rPr>
        <w:t>ficaria da seguinte forma:</w:t>
      </w:r>
    </w:p>
    <w:p w:rsidR="004C7B23" w:rsidRPr="00B131CE" w:rsidP="005236E3">
      <w:pPr>
        <w:tabs>
          <w:tab w:val="left" w:pos="8222"/>
          <w:tab w:val="left" w:pos="8364"/>
        </w:tabs>
        <w:spacing w:line="360" w:lineRule="auto"/>
        <w:ind w:right="-1" w:firstLine="1134"/>
        <w:jc w:val="both"/>
        <w:rPr>
          <w:rFonts w:eastAsia="Calibri" w:cs="Arial"/>
          <w:szCs w:val="24"/>
          <w:lang w:eastAsia="en-US"/>
        </w:rPr>
      </w:pPr>
    </w:p>
    <w:p w:rsidR="005236E3" w:rsidP="005236E3">
      <w:pPr>
        <w:spacing w:after="160" w:line="360" w:lineRule="auto"/>
        <w:ind w:left="567" w:right="566"/>
        <w:jc w:val="both"/>
        <w:rPr>
          <w:rFonts w:eastAsia="Calibri" w:cs="Arial"/>
          <w:b/>
          <w:szCs w:val="24"/>
          <w:lang w:eastAsia="en-US"/>
        </w:rPr>
      </w:pPr>
      <w:r>
        <w:rPr>
          <w:rFonts w:eastAsia="Calibri" w:cs="Arial"/>
          <w:b/>
          <w:szCs w:val="24"/>
          <w:lang w:eastAsia="en-US"/>
        </w:rPr>
        <w:t>Art. 5º [...]</w:t>
      </w:r>
    </w:p>
    <w:p w:rsidR="00B131CE" w:rsidRPr="005236E3" w:rsidP="005236E3">
      <w:pPr>
        <w:spacing w:after="160" w:line="360" w:lineRule="auto"/>
        <w:ind w:right="566" w:firstLine="567"/>
        <w:jc w:val="both"/>
        <w:rPr>
          <w:rFonts w:eastAsia="Calibri" w:cs="Arial"/>
          <w:b/>
          <w:szCs w:val="24"/>
          <w:lang w:eastAsia="en-US"/>
        </w:rPr>
      </w:pPr>
      <w:r>
        <w:rPr>
          <w:rFonts w:eastAsia="Calibri" w:cs="Arial"/>
          <w:b/>
          <w:szCs w:val="24"/>
          <w:lang w:eastAsia="en-US"/>
        </w:rPr>
        <w:t xml:space="preserve">               </w:t>
      </w:r>
      <w:r w:rsidRPr="00B131CE">
        <w:rPr>
          <w:rFonts w:eastAsia="Calibri" w:cs="Arial"/>
          <w:b/>
          <w:color w:val="202124"/>
          <w:szCs w:val="24"/>
          <w:shd w:val="clear" w:color="auto" w:fill="FFFFFF"/>
          <w:lang w:eastAsia="en-US"/>
        </w:rPr>
        <w:t xml:space="preserve">§ 1º </w:t>
      </w:r>
      <w:r w:rsidRPr="00B131CE">
        <w:rPr>
          <w:rFonts w:eastAsia="Calibri" w:cs="Arial"/>
          <w:color w:val="202124"/>
          <w:szCs w:val="24"/>
          <w:shd w:val="clear" w:color="auto" w:fill="FFFFFF"/>
          <w:lang w:eastAsia="en-US"/>
        </w:rPr>
        <w:t>Na hipótese de exclusão do devedor do REFIS, o mesmo será previamente notificado, sendo os valores eventualmente liquidados abatidos da divida original, constituindo o montante remanescente debito confessado, o qual será atualizado, acrescido de juros, multas e correção monetária desde a data original do debito.</w:t>
      </w:r>
    </w:p>
    <w:p w:rsidR="00B131CE" w:rsidRPr="00B131CE" w:rsidP="005236E3">
      <w:pPr>
        <w:spacing w:after="160" w:line="360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236E3" w:rsidP="00C669C4">
      <w:pPr>
        <w:spacing w:after="160" w:line="360" w:lineRule="auto"/>
        <w:jc w:val="both"/>
        <w:rPr>
          <w:rFonts w:eastAsia="Calibri" w:cs="Arial"/>
          <w:szCs w:val="24"/>
        </w:rPr>
      </w:pPr>
    </w:p>
    <w:p w:rsidR="005236E3" w:rsidP="00B131CE">
      <w:pPr>
        <w:spacing w:after="160" w:line="360" w:lineRule="auto"/>
        <w:ind w:left="708" w:firstLine="426"/>
        <w:jc w:val="both"/>
        <w:rPr>
          <w:rFonts w:eastAsia="Calibri" w:cs="Arial"/>
          <w:szCs w:val="24"/>
        </w:rPr>
      </w:pPr>
    </w:p>
    <w:p w:rsidR="00B131CE" w:rsidRPr="00B131CE" w:rsidP="005236E3">
      <w:pPr>
        <w:spacing w:after="160" w:line="360" w:lineRule="auto"/>
        <w:ind w:left="708" w:firstLine="426"/>
        <w:jc w:val="right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Valinhos, aos dias 30</w:t>
      </w:r>
      <w:r w:rsidR="005236E3">
        <w:rPr>
          <w:rFonts w:eastAsia="Calibri" w:cs="Arial"/>
          <w:szCs w:val="24"/>
        </w:rPr>
        <w:t xml:space="preserve"> </w:t>
      </w:r>
      <w:r w:rsidRPr="00B131CE">
        <w:rPr>
          <w:rFonts w:eastAsia="Calibri" w:cs="Arial"/>
          <w:szCs w:val="24"/>
        </w:rPr>
        <w:t>de maio de 2022.</w:t>
      </w:r>
    </w:p>
    <w:p w:rsidR="00237B5B" w:rsidRPr="00866CF2" w:rsidP="00C669C4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236E3" w:rsidP="005236E3">
      <w:pPr>
        <w:spacing w:line="360" w:lineRule="auto"/>
        <w:jc w:val="both"/>
        <w:rPr>
          <w:rFonts w:eastAsia="Calibri" w:cs="Arial"/>
          <w:b/>
          <w:szCs w:val="24"/>
        </w:rPr>
      </w:pPr>
      <w:r w:rsidRPr="005236E3">
        <w:rPr>
          <w:rFonts w:eastAsia="Calibri" w:cs="Arial"/>
          <w:b/>
          <w:szCs w:val="24"/>
        </w:rPr>
        <w:t>AUTORI</w:t>
      </w:r>
      <w:r>
        <w:rPr>
          <w:rFonts w:eastAsia="Calibri" w:cs="Arial"/>
          <w:b/>
          <w:szCs w:val="24"/>
        </w:rPr>
        <w:t>A: Comissão de Finanças e Orçamento</w:t>
      </w: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4C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51A7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51A7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9B04C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4C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4C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51A7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51A7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9B04C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4C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4C1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0669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066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3045/2022</w:t>
    </w:r>
  </w:p>
  <w:p w:rsidR="009B04C1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2385/2022</w:t>
    </w:r>
  </w:p>
  <w:p w:rsidR="009B04C1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4C1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4C1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4C1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4C1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957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9774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4C1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3045/2022</w:t>
    </w:r>
  </w:p>
  <w:p w:rsidR="009B04C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2385/2022</w:t>
    </w:r>
  </w:p>
  <w:p w:rsidR="009B04C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4C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4C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4C1" w:rsidP="009B0EE4">
    <w:pPr>
      <w:pStyle w:val="Header"/>
      <w:ind w:left="-142"/>
    </w:pPr>
  </w:p>
  <w:p w:rsidR="009B04C1" w:rsidP="009B0EE4">
    <w:pPr>
      <w:pStyle w:val="Header"/>
    </w:pPr>
  </w:p>
  <w:p w:rsidR="009B04C1" w:rsidP="009B0EE4">
    <w:pPr>
      <w:pStyle w:val="Header"/>
    </w:pPr>
  </w:p>
  <w:p w:rsidR="009B04C1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4C1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96/2022</w:t>
    </w:r>
  </w:p>
  <w:p w:rsidR="009B04C1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D1672"/>
    <w:rsid w:val="000E2243"/>
    <w:rsid w:val="000F7939"/>
    <w:rsid w:val="00103936"/>
    <w:rsid w:val="0015210E"/>
    <w:rsid w:val="00154E6D"/>
    <w:rsid w:val="00166047"/>
    <w:rsid w:val="00187E11"/>
    <w:rsid w:val="001A68A6"/>
    <w:rsid w:val="00203FA5"/>
    <w:rsid w:val="00227418"/>
    <w:rsid w:val="002319AB"/>
    <w:rsid w:val="00237B5B"/>
    <w:rsid w:val="002406D6"/>
    <w:rsid w:val="00265627"/>
    <w:rsid w:val="00274576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51A70"/>
    <w:rsid w:val="00471885"/>
    <w:rsid w:val="00486790"/>
    <w:rsid w:val="00496A3E"/>
    <w:rsid w:val="004C7B23"/>
    <w:rsid w:val="004E3236"/>
    <w:rsid w:val="004E493C"/>
    <w:rsid w:val="005236E3"/>
    <w:rsid w:val="00534972"/>
    <w:rsid w:val="00540457"/>
    <w:rsid w:val="005408CC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A6284"/>
    <w:rsid w:val="009B04C1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31CE"/>
    <w:rsid w:val="00B15A41"/>
    <w:rsid w:val="00B75386"/>
    <w:rsid w:val="00BA2827"/>
    <w:rsid w:val="00C121B6"/>
    <w:rsid w:val="00C1360D"/>
    <w:rsid w:val="00C167FC"/>
    <w:rsid w:val="00C669C4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F3F95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39"/>
    <w:rsid w:val="00B131C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4387-D41A-439C-AD42-04B7F0C9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11</cp:revision>
  <cp:lastPrinted>2022-05-31T12:12:59Z</cp:lastPrinted>
  <dcterms:created xsi:type="dcterms:W3CDTF">2022-05-27T13:50:00Z</dcterms:created>
  <dcterms:modified xsi:type="dcterms:W3CDTF">2022-05-30T17:16:00Z</dcterms:modified>
</cp:coreProperties>
</file>