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914AA0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914AA0">
        <w:rPr>
          <w:rFonts w:ascii="Calibri" w:hAnsi="Calibri" w:cs="Calibri"/>
          <w:b/>
          <w:color w:val="auto"/>
        </w:rPr>
        <w:t xml:space="preserve">Parecer Jurídico nº </w:t>
      </w:r>
      <w:r w:rsidR="00BF18C3">
        <w:rPr>
          <w:rFonts w:ascii="Calibri" w:hAnsi="Calibri" w:cs="Calibri"/>
          <w:b/>
          <w:color w:val="auto"/>
        </w:rPr>
        <w:t>201</w:t>
      </w:r>
      <w:r w:rsidRPr="00914AA0">
        <w:rPr>
          <w:rFonts w:ascii="Calibri" w:hAnsi="Calibri" w:cs="Calibri"/>
          <w:b/>
          <w:color w:val="auto"/>
        </w:rPr>
        <w:t>/2022.</w:t>
      </w:r>
    </w:p>
    <w:p w:rsidR="00914AA0" w:rsidRPr="002B612E" w:rsidP="00402AEE">
      <w:pPr>
        <w:spacing w:after="0"/>
        <w:jc w:val="both"/>
        <w:rPr>
          <w:rFonts w:ascii="Calibri" w:hAnsi="Calibri" w:cs="Calibri"/>
          <w:bCs/>
          <w:szCs w:val="24"/>
        </w:rPr>
      </w:pPr>
      <w:r w:rsidRPr="00914AA0">
        <w:rPr>
          <w:rFonts w:ascii="Calibri" w:hAnsi="Calibri" w:cs="Calibri"/>
          <w:b/>
          <w:bCs/>
          <w:szCs w:val="24"/>
        </w:rPr>
        <w:t>Assunto</w:t>
      </w:r>
      <w:r w:rsidRPr="00914AA0">
        <w:rPr>
          <w:rFonts w:ascii="Calibri" w:hAnsi="Calibri" w:cs="Calibri"/>
          <w:bCs/>
          <w:szCs w:val="24"/>
        </w:rPr>
        <w:t xml:space="preserve">: </w:t>
      </w:r>
      <w:r w:rsidRPr="00914AA0">
        <w:rPr>
          <w:rFonts w:ascii="Calibri" w:hAnsi="Calibri" w:cs="Calibri"/>
          <w:b/>
          <w:bCs/>
          <w:szCs w:val="24"/>
        </w:rPr>
        <w:t>Emenda 01 ao Projeto de</w:t>
      </w:r>
      <w:r w:rsidRPr="00914AA0">
        <w:rPr>
          <w:rFonts w:ascii="Calibri" w:hAnsi="Calibri" w:cs="Calibri"/>
          <w:b/>
          <w:bCs/>
          <w:szCs w:val="24"/>
        </w:rPr>
        <w:t xml:space="preserve"> </w:t>
      </w:r>
      <w:r w:rsidR="00A65E03">
        <w:rPr>
          <w:rFonts w:ascii="Calibri" w:hAnsi="Calibri" w:cs="Calibri"/>
          <w:b/>
          <w:bCs/>
          <w:szCs w:val="24"/>
        </w:rPr>
        <w:t>Le</w:t>
      </w:r>
      <w:r>
        <w:rPr>
          <w:rFonts w:ascii="Calibri" w:hAnsi="Calibri" w:cs="Calibri"/>
          <w:b/>
          <w:bCs/>
          <w:szCs w:val="24"/>
        </w:rPr>
        <w:t>i nº</w:t>
      </w:r>
      <w:r w:rsidRPr="00305026">
        <w:rPr>
          <w:rFonts w:ascii="Calibri" w:hAnsi="Calibri" w:cs="Calibri"/>
          <w:b/>
          <w:bCs/>
          <w:szCs w:val="24"/>
        </w:rPr>
        <w:t xml:space="preserve"> </w:t>
      </w:r>
      <w:r w:rsidR="00BF18C3">
        <w:rPr>
          <w:rFonts w:ascii="Calibri" w:hAnsi="Calibri" w:cs="Calibri"/>
          <w:b/>
          <w:bCs/>
          <w:szCs w:val="24"/>
        </w:rPr>
        <w:t>33</w:t>
      </w:r>
      <w:r w:rsidR="00D932DC">
        <w:rPr>
          <w:rFonts w:ascii="Calibri" w:hAnsi="Calibri" w:cs="Calibri"/>
          <w:b/>
          <w:bCs/>
          <w:szCs w:val="24"/>
        </w:rPr>
        <w:t>/202</w:t>
      </w:r>
      <w:r>
        <w:rPr>
          <w:rFonts w:ascii="Calibri" w:hAnsi="Calibri" w:cs="Calibri"/>
          <w:b/>
          <w:bCs/>
          <w:szCs w:val="24"/>
        </w:rPr>
        <w:t>2</w:t>
      </w:r>
      <w:r w:rsidR="00D932DC">
        <w:rPr>
          <w:rFonts w:ascii="Calibri" w:hAnsi="Calibri" w:cs="Calibri"/>
          <w:b/>
          <w:bCs/>
          <w:szCs w:val="24"/>
        </w:rPr>
        <w:t xml:space="preserve"> </w:t>
      </w:r>
      <w:r w:rsidRPr="002B612E" w:rsidR="002B612E">
        <w:rPr>
          <w:rFonts w:ascii="Calibri" w:hAnsi="Calibri" w:cs="Calibri"/>
          <w:bCs/>
          <w:szCs w:val="24"/>
        </w:rPr>
        <w:t>que “</w:t>
      </w:r>
      <w:r w:rsidRPr="00955F7A" w:rsidR="00BF18C3">
        <w:rPr>
          <w:rFonts w:asciiTheme="minorHAnsi" w:hAnsiTheme="minorHAnsi" w:cstheme="minorHAnsi"/>
          <w:bCs/>
          <w:szCs w:val="24"/>
        </w:rPr>
        <w:t xml:space="preserve">Dispõe sobre proibição de instalação de banheiros </w:t>
      </w:r>
      <w:r w:rsidR="00BF18C3">
        <w:rPr>
          <w:rFonts w:asciiTheme="minorHAnsi" w:hAnsiTheme="minorHAnsi" w:cstheme="minorHAnsi"/>
          <w:bCs/>
          <w:szCs w:val="24"/>
        </w:rPr>
        <w:t>unissex no M</w:t>
      </w:r>
      <w:r w:rsidRPr="00955F7A" w:rsidR="00BF18C3">
        <w:rPr>
          <w:rFonts w:asciiTheme="minorHAnsi" w:hAnsiTheme="minorHAnsi" w:cstheme="minorHAnsi"/>
          <w:bCs/>
          <w:szCs w:val="24"/>
        </w:rPr>
        <w:t>unicípio de Valinhos</w:t>
      </w:r>
      <w:r w:rsidRPr="002B612E" w:rsidR="002B612E">
        <w:rPr>
          <w:rFonts w:ascii="Calibri" w:hAnsi="Calibri" w:cs="Calibri"/>
          <w:bCs/>
          <w:szCs w:val="24"/>
        </w:rPr>
        <w:t>”.</w:t>
      </w:r>
    </w:p>
    <w:p w:rsidR="00A779B8" w:rsidRPr="00D932DC" w:rsidP="00D932DC">
      <w:pPr>
        <w:spacing w:after="0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Emenda de autoria </w:t>
      </w:r>
      <w:r w:rsidR="00B34441">
        <w:rPr>
          <w:rFonts w:ascii="Calibri" w:hAnsi="Calibri" w:cs="Calibri"/>
          <w:b/>
          <w:bCs/>
          <w:szCs w:val="24"/>
        </w:rPr>
        <w:t>do</w:t>
      </w:r>
      <w:r w:rsidR="00D932DC">
        <w:rPr>
          <w:rFonts w:ascii="Calibri" w:hAnsi="Calibri" w:cs="Calibri"/>
          <w:b/>
          <w:bCs/>
          <w:szCs w:val="24"/>
        </w:rPr>
        <w:t xml:space="preserve"> Vereador</w:t>
      </w:r>
      <w:r w:rsidR="000A5F15">
        <w:rPr>
          <w:rFonts w:ascii="Calibri" w:hAnsi="Calibri" w:cs="Calibri"/>
          <w:b/>
          <w:bCs/>
          <w:szCs w:val="24"/>
        </w:rPr>
        <w:t xml:space="preserve"> </w:t>
      </w:r>
      <w:r w:rsidR="00BF18C3">
        <w:rPr>
          <w:rFonts w:ascii="Calibri" w:hAnsi="Calibri" w:cs="Calibri"/>
          <w:b/>
          <w:bCs/>
          <w:szCs w:val="24"/>
        </w:rPr>
        <w:t>Marcelo Yoshida</w:t>
      </w:r>
      <w:r w:rsidR="000A5F15">
        <w:rPr>
          <w:rFonts w:ascii="Calibri" w:hAnsi="Calibri" w:cs="Calibri"/>
          <w:b/>
          <w:bCs/>
          <w:szCs w:val="24"/>
        </w:rPr>
        <w:t>.</w:t>
      </w:r>
    </w:p>
    <w:p w:rsidR="00D932DC" w:rsidP="00D932DC">
      <w:pPr>
        <w:spacing w:after="0"/>
        <w:jc w:val="both"/>
        <w:rPr>
          <w:rFonts w:ascii="Calibri" w:hAnsi="Calibri" w:cs="Calibri"/>
          <w:b/>
          <w:bCs/>
        </w:rPr>
      </w:pPr>
    </w:p>
    <w:p w:rsidR="002B612E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B612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BF18C3" w:rsidRPr="00BF18C3" w:rsidP="00BF18C3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</w:t>
      </w:r>
      <w:r w:rsidRPr="0006682F">
        <w:rPr>
          <w:rFonts w:asciiTheme="minorHAnsi" w:hAnsiTheme="minorHAnsi" w:cstheme="minorHAnsi"/>
        </w:rPr>
        <w:t xml:space="preserve">em epígrafe </w:t>
      </w:r>
      <w:r w:rsidRPr="00A65E03" w:rsidR="00914AA0">
        <w:rPr>
          <w:rFonts w:asciiTheme="minorHAnsi" w:hAnsiTheme="minorHAnsi" w:cstheme="minorHAnsi"/>
        </w:rPr>
        <w:t xml:space="preserve">que </w:t>
      </w:r>
      <w:r w:rsidR="002B612E">
        <w:rPr>
          <w:rFonts w:asciiTheme="minorHAnsi" w:hAnsiTheme="minorHAnsi" w:cstheme="minorHAnsi"/>
        </w:rPr>
        <w:t xml:space="preserve">altera a redação do art. </w:t>
      </w:r>
      <w:r>
        <w:rPr>
          <w:rFonts w:asciiTheme="minorHAnsi" w:hAnsiTheme="minorHAnsi" w:cstheme="minorHAnsi"/>
        </w:rPr>
        <w:t>2</w:t>
      </w:r>
      <w:r w:rsidR="002B612E">
        <w:rPr>
          <w:rFonts w:asciiTheme="minorHAnsi" w:hAnsiTheme="minorHAnsi" w:cstheme="minorHAnsi"/>
        </w:rPr>
        <w:t xml:space="preserve">º do </w:t>
      </w:r>
      <w:r w:rsidRPr="00BF18C3">
        <w:rPr>
          <w:rFonts w:ascii="Calibri" w:hAnsi="Calibri" w:cs="Calibri"/>
          <w:bCs/>
        </w:rPr>
        <w:t>Projeto de Lei nº 33/2022 que</w:t>
      </w:r>
      <w:r w:rsidRPr="002B612E">
        <w:rPr>
          <w:rFonts w:ascii="Calibri" w:hAnsi="Calibri" w:cs="Calibri"/>
          <w:bCs/>
        </w:rPr>
        <w:t xml:space="preserve"> “</w:t>
      </w:r>
      <w:r w:rsidRPr="00BF18C3">
        <w:rPr>
          <w:rFonts w:asciiTheme="minorHAnsi" w:hAnsiTheme="minorHAnsi" w:cstheme="minorHAnsi"/>
          <w:bCs/>
          <w:i/>
        </w:rPr>
        <w:t xml:space="preserve">Dispõe sobre proibição </w:t>
      </w:r>
      <w:r w:rsidRPr="00F226F1">
        <w:rPr>
          <w:rFonts w:asciiTheme="minorHAnsi" w:hAnsiTheme="minorHAnsi" w:cstheme="minorHAnsi"/>
          <w:i/>
        </w:rPr>
        <w:t>de instalação de banheiros unissex no Município de Valinhos</w:t>
      </w:r>
      <w:r w:rsidRPr="00BF18C3">
        <w:rPr>
          <w:rFonts w:asciiTheme="minorHAnsi" w:hAnsiTheme="minorHAnsi" w:cstheme="minorHAnsi"/>
        </w:rPr>
        <w:t>”, nos seguintes termos:</w:t>
      </w:r>
    </w:p>
    <w:p w:rsidR="00BF18C3" w:rsidRPr="00BF18C3" w:rsidP="00BF18C3">
      <w:pPr>
        <w:pStyle w:val="Default"/>
        <w:spacing w:after="240" w:line="276" w:lineRule="auto"/>
        <w:ind w:left="2268"/>
        <w:jc w:val="both"/>
        <w:rPr>
          <w:rFonts w:asciiTheme="minorHAnsi" w:hAnsiTheme="minorHAnsi" w:cstheme="minorHAnsi"/>
        </w:rPr>
      </w:pPr>
      <w:r w:rsidRPr="00BF18C3">
        <w:rPr>
          <w:rFonts w:asciiTheme="minorHAnsi" w:hAnsiTheme="minorHAnsi" w:cstheme="minorHAnsi"/>
          <w:i/>
        </w:rPr>
        <w:t>Art. 2º Excetua-se do disposto desta Lei os estabelecimentos públicos ou privados que</w:t>
      </w:r>
      <w:r>
        <w:rPr>
          <w:rFonts w:asciiTheme="minorHAnsi" w:hAnsiTheme="minorHAnsi" w:cstheme="minorHAnsi"/>
          <w:i/>
        </w:rPr>
        <w:t xml:space="preserve"> têm </w:t>
      </w:r>
      <w:r w:rsidRPr="00BF18C3">
        <w:rPr>
          <w:rFonts w:asciiTheme="minorHAnsi" w:hAnsiTheme="minorHAnsi" w:cstheme="minorHAnsi"/>
          <w:i/>
        </w:rPr>
        <w:t xml:space="preserve">banheiros de uso familiar </w:t>
      </w:r>
      <w:r>
        <w:rPr>
          <w:rFonts w:asciiTheme="minorHAnsi" w:hAnsiTheme="minorHAnsi" w:cstheme="minorHAnsi"/>
          <w:b/>
          <w:i/>
          <w:u w:val="single"/>
        </w:rPr>
        <w:t xml:space="preserve">e </w:t>
      </w:r>
      <w:r w:rsidRPr="00BF18C3">
        <w:rPr>
          <w:rFonts w:asciiTheme="minorHAnsi" w:hAnsiTheme="minorHAnsi" w:cstheme="minorHAnsi"/>
          <w:b/>
          <w:i/>
          <w:u w:val="single"/>
        </w:rPr>
        <w:t xml:space="preserve">os de </w:t>
      </w:r>
      <w:r w:rsidRPr="00BF18C3">
        <w:rPr>
          <w:rFonts w:asciiTheme="minorHAnsi" w:hAnsiTheme="minorHAnsi" w:cstheme="minorHAnsi"/>
          <w:b/>
          <w:i/>
          <w:u w:val="single"/>
        </w:rPr>
        <w:t>uso</w:t>
      </w:r>
      <w:r w:rsidRPr="00BF18C3">
        <w:rPr>
          <w:rFonts w:asciiTheme="minorHAnsi" w:hAnsiTheme="minorHAnsi" w:cstheme="minorHAnsi"/>
          <w:b/>
          <w:i/>
          <w:u w:val="single"/>
        </w:rPr>
        <w:t xml:space="preserve"> de pessoas com deficiência (PCD) </w:t>
      </w:r>
      <w:r w:rsidRPr="00BF18C3">
        <w:rPr>
          <w:rFonts w:asciiTheme="minorHAnsi" w:hAnsiTheme="minorHAnsi" w:cstheme="minorHAnsi"/>
          <w:i/>
        </w:rPr>
        <w:t>ou quando se tratar do único banheiro do estabelecimento, desde que este seja de uso individual.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A779B8" w:rsidRPr="0006682F" w:rsidP="009D2232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="009D2232">
        <w:rPr>
          <w:rFonts w:asciiTheme="minorHAnsi" w:hAnsiTheme="minorHAnsi" w:cstheme="minorHAnsi"/>
          <w:szCs w:val="24"/>
        </w:rPr>
        <w:t xml:space="preserve"> </w:t>
      </w: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06682F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execução </w:t>
      </w:r>
      <w:r w:rsidRPr="0006682F">
        <w:rPr>
          <w:rFonts w:asciiTheme="minorHAnsi" w:hAnsiTheme="minorHAnsi" w:cstheme="minorHAnsi"/>
          <w:i/>
          <w:sz w:val="22"/>
          <w:szCs w:val="22"/>
        </w:rPr>
        <w:t>ex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6682F">
        <w:rPr>
          <w:rFonts w:asciiTheme="minorHAnsi" w:hAnsiTheme="minorHAnsi" w:cstheme="minorHAnsi"/>
          <w:i/>
          <w:sz w:val="22"/>
          <w:szCs w:val="22"/>
        </w:rPr>
        <w:t>oficio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Desta feita, considerando os aspectos </w:t>
      </w:r>
      <w:r>
        <w:rPr>
          <w:rFonts w:eastAsia="Calibri" w:asciiTheme="minorHAnsi" w:hAnsiTheme="minorHAnsi" w:cstheme="minorHAnsi"/>
          <w:color w:val="000000"/>
          <w:szCs w:val="24"/>
        </w:rPr>
        <w:t>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031240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031240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BF18C3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BF18C3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402AE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402AEE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402AE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402AEE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RPr="00A65E03" w:rsidP="00A65E03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9D2232">
        <w:rPr>
          <w:rFonts w:asciiTheme="minorHAnsi" w:hAnsiTheme="minorHAnsi" w:cs="Calibri"/>
          <w:color w:val="FF0000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 xml:space="preserve">Destarte, verifica-se que o projeto de emenda </w:t>
      </w:r>
      <w:r w:rsidR="005D6203">
        <w:rPr>
          <w:rFonts w:asciiTheme="minorHAnsi" w:hAnsiTheme="minorHAnsi" w:cs="Calibri"/>
          <w:szCs w:val="24"/>
        </w:rPr>
        <w:t xml:space="preserve">em apreço </w:t>
      </w:r>
      <w:r w:rsidRPr="00783082">
        <w:rPr>
          <w:rFonts w:asciiTheme="minorHAnsi" w:hAnsiTheme="minorHAnsi" w:cs="Calibri"/>
          <w:szCs w:val="24"/>
        </w:rPr>
        <w:t>atende aos dispositivos do Regimento Interno da Câmara, não havendo óbice regimental n</w:t>
      </w:r>
      <w:r w:rsidR="00A65E03">
        <w:rPr>
          <w:rFonts w:asciiTheme="minorHAnsi" w:hAnsiTheme="minorHAnsi" w:cs="Calibri"/>
          <w:szCs w:val="24"/>
        </w:rPr>
        <w:t>a</w:t>
      </w:r>
      <w:r w:rsidR="00BF18C3">
        <w:rPr>
          <w:rFonts w:asciiTheme="minorHAnsi" w:hAnsiTheme="minorHAnsi" w:cs="Calibri"/>
          <w:szCs w:val="24"/>
        </w:rPr>
        <w:t xml:space="preserve"> sua</w:t>
      </w:r>
      <w:r w:rsidRPr="00783082">
        <w:rPr>
          <w:rFonts w:asciiTheme="minorHAnsi" w:hAnsiTheme="minorHAnsi" w:cs="Calibri"/>
          <w:szCs w:val="24"/>
        </w:rPr>
        <w:t xml:space="preserve"> tramitação</w:t>
      </w:r>
      <w:r w:rsidR="00F226F1">
        <w:rPr>
          <w:rFonts w:asciiTheme="minorHAnsi" w:hAnsiTheme="minorHAnsi" w:cs="Calibri"/>
          <w:szCs w:val="24"/>
        </w:rPr>
        <w:t>, contudo, em relação</w:t>
      </w:r>
      <w:r w:rsidR="00BF18C3">
        <w:rPr>
          <w:rFonts w:asciiTheme="minorHAnsi" w:hAnsiTheme="minorHAnsi" w:cs="Calibri"/>
          <w:szCs w:val="24"/>
        </w:rPr>
        <w:t xml:space="preserve"> à matéria reiteramos</w:t>
      </w:r>
      <w:r w:rsidR="00A65E03">
        <w:rPr>
          <w:rFonts w:asciiTheme="minorHAnsi" w:hAnsiTheme="minorHAnsi" w:cs="Calibri"/>
          <w:szCs w:val="24"/>
        </w:rPr>
        <w:t xml:space="preserve"> </w:t>
      </w:r>
      <w:r w:rsidRPr="002B612E">
        <w:rPr>
          <w:rFonts w:asciiTheme="minorHAnsi" w:hAnsiTheme="minorHAnsi" w:cs="Calibri"/>
          <w:szCs w:val="24"/>
        </w:rPr>
        <w:t xml:space="preserve">Parecer Jurídico nº </w:t>
      </w:r>
      <w:r w:rsidR="00BF18C3">
        <w:rPr>
          <w:rFonts w:asciiTheme="minorHAnsi" w:hAnsiTheme="minorHAnsi" w:cs="Calibri"/>
          <w:szCs w:val="24"/>
        </w:rPr>
        <w:t>95</w:t>
      </w:r>
      <w:r w:rsidRPr="002B612E">
        <w:rPr>
          <w:rFonts w:asciiTheme="minorHAnsi" w:hAnsiTheme="minorHAnsi" w:cs="Calibri"/>
          <w:szCs w:val="24"/>
        </w:rPr>
        <w:t>/202</w:t>
      </w:r>
      <w:r w:rsidRPr="002B612E" w:rsidR="00914AA0">
        <w:rPr>
          <w:rFonts w:asciiTheme="minorHAnsi" w:hAnsiTheme="minorHAnsi" w:cs="Calibri"/>
          <w:szCs w:val="24"/>
        </w:rPr>
        <w:t>2</w:t>
      </w:r>
      <w:r w:rsidR="00BF18C3">
        <w:rPr>
          <w:rFonts w:asciiTheme="minorHAnsi" w:hAnsiTheme="minorHAnsi" w:cs="Calibri"/>
          <w:szCs w:val="24"/>
        </w:rPr>
        <w:t xml:space="preserve">, que opina pela inconstitucionalidade do Projeto de Lei nº </w:t>
      </w:r>
      <w:bookmarkStart w:id="0" w:name="_GoBack"/>
      <w:bookmarkEnd w:id="0"/>
      <w:r w:rsidR="00BF18C3">
        <w:rPr>
          <w:rFonts w:asciiTheme="minorHAnsi" w:hAnsiTheme="minorHAnsi" w:cs="Calibri"/>
          <w:szCs w:val="24"/>
        </w:rPr>
        <w:t>33/2022</w:t>
      </w:r>
      <w:r w:rsidRPr="00402AEE">
        <w:rPr>
          <w:rFonts w:asciiTheme="minorHAnsi" w:hAnsiTheme="minorHAnsi" w:cs="Calibri"/>
          <w:szCs w:val="24"/>
        </w:rPr>
        <w:t xml:space="preserve">. </w:t>
      </w:r>
      <w:r w:rsidRPr="00783082">
        <w:rPr>
          <w:rFonts w:asciiTheme="minorHAnsi" w:hAnsiTheme="minorHAnsi" w:cs="Calibri"/>
          <w:szCs w:val="24"/>
        </w:rPr>
        <w:t>S</w:t>
      </w:r>
      <w:r w:rsidRPr="00783082">
        <w:rPr>
          <w:rFonts w:ascii="Calibri" w:hAnsi="Calibri" w:cstheme="minorHAnsi"/>
          <w:szCs w:val="24"/>
        </w:rPr>
        <w:t>obre o 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>
        <w:rPr>
          <w:rFonts w:ascii="Calibri" w:hAnsi="Calibri" w:cs="Calibri"/>
          <w:szCs w:val="24"/>
        </w:rPr>
        <w:t xml:space="preserve">, </w:t>
      </w:r>
      <w:r w:rsidR="00914AA0">
        <w:rPr>
          <w:rFonts w:ascii="Calibri" w:hAnsi="Calibri" w:cs="Calibri"/>
          <w:szCs w:val="24"/>
        </w:rPr>
        <w:t>23</w:t>
      </w:r>
      <w:r w:rsidRPr="003A7521">
        <w:rPr>
          <w:rFonts w:ascii="Calibri" w:hAnsi="Calibri" w:cs="Calibri"/>
          <w:szCs w:val="24"/>
        </w:rPr>
        <w:t xml:space="preserve"> de </w:t>
      </w:r>
      <w:r w:rsidR="00914AA0">
        <w:rPr>
          <w:rFonts w:ascii="Calibri" w:hAnsi="Calibri" w:cs="Calibri"/>
          <w:szCs w:val="24"/>
        </w:rPr>
        <w:t>maio</w:t>
      </w:r>
      <w:r w:rsidRPr="003A7521">
        <w:rPr>
          <w:rFonts w:ascii="Calibri" w:hAnsi="Calibri" w:cs="Calibri"/>
          <w:szCs w:val="24"/>
        </w:rPr>
        <w:t xml:space="preserve"> de 202</w:t>
      </w:r>
      <w:r>
        <w:rPr>
          <w:rFonts w:ascii="Calibri" w:hAnsi="Calibri" w:cs="Calibri"/>
          <w:szCs w:val="24"/>
        </w:rPr>
        <w:t>2</w:t>
      </w:r>
      <w:r w:rsidRPr="003A7521">
        <w:rPr>
          <w:rFonts w:ascii="Calibri" w:hAnsi="Calibri" w:cs="Calibri"/>
          <w:szCs w:val="24"/>
        </w:rPr>
        <w:t>.</w:t>
      </w:r>
    </w:p>
    <w:p w:rsidR="00A779B8" w:rsidRPr="003A7521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Assinatura eletrônica</w:t>
      </w:r>
    </w:p>
    <w:p w:rsidR="00646BC4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B34441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B34441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B34441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</w:t>
            </w:r>
            <w:r>
              <w:rPr>
                <w:sz w:val="18"/>
                <w:lang w:val="pt-PT"/>
              </w:rPr>
              <w:t>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B34441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B34441" w:rsidP="00305026">
            <w:pPr>
              <w:pStyle w:val="Footer"/>
              <w:ind w:left="-1985" w:right="-313"/>
              <w:jc w:val="center"/>
            </w:pPr>
          </w:p>
          <w:p w:rsidR="00B34441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226F1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F226F1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4441" w:rsidP="00305026">
    <w:pPr>
      <w:pStyle w:val="Header"/>
      <w:jc w:val="center"/>
      <w:rPr>
        <w:b/>
        <w:sz w:val="26"/>
        <w:lang w:val="pt-PT"/>
      </w:rPr>
    </w:pPr>
  </w:p>
  <w:p w:rsidR="00B34441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441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80486546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1964766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1491030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34441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192317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482383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34441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34441" w:rsidP="0030502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6682F"/>
    <w:rsid w:val="000A5F15"/>
    <w:rsid w:val="001430C8"/>
    <w:rsid w:val="001B125C"/>
    <w:rsid w:val="002B612E"/>
    <w:rsid w:val="002F41B0"/>
    <w:rsid w:val="00305026"/>
    <w:rsid w:val="003A7521"/>
    <w:rsid w:val="003D4024"/>
    <w:rsid w:val="00402AEE"/>
    <w:rsid w:val="00474AE3"/>
    <w:rsid w:val="0049137E"/>
    <w:rsid w:val="0059369F"/>
    <w:rsid w:val="005C1929"/>
    <w:rsid w:val="005D6203"/>
    <w:rsid w:val="00646BC4"/>
    <w:rsid w:val="00692D8D"/>
    <w:rsid w:val="00724E61"/>
    <w:rsid w:val="00743FE1"/>
    <w:rsid w:val="00783082"/>
    <w:rsid w:val="007D2626"/>
    <w:rsid w:val="007E75D4"/>
    <w:rsid w:val="00813294"/>
    <w:rsid w:val="00914AA0"/>
    <w:rsid w:val="00955F7A"/>
    <w:rsid w:val="009D2232"/>
    <w:rsid w:val="00A11C65"/>
    <w:rsid w:val="00A65E03"/>
    <w:rsid w:val="00A779B8"/>
    <w:rsid w:val="00AD09BD"/>
    <w:rsid w:val="00AF01F9"/>
    <w:rsid w:val="00B34441"/>
    <w:rsid w:val="00BF18C3"/>
    <w:rsid w:val="00D932DC"/>
    <w:rsid w:val="00F226F1"/>
    <w:rsid w:val="00F33184"/>
    <w:rsid w:val="00F53BEF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534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4</cp:revision>
  <dcterms:created xsi:type="dcterms:W3CDTF">2022-05-23T18:50:00Z</dcterms:created>
  <dcterms:modified xsi:type="dcterms:W3CDTF">2022-05-24T18:12:00Z</dcterms:modified>
</cp:coreProperties>
</file>