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008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BC7B23" w:rsidRPr="00AA60D6" w:rsidP="00BC7B23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421447">
        <w:rPr>
          <w:rFonts w:asciiTheme="minorHAnsi" w:hAnsiTheme="minorHAnsi" w:cstheme="minorHAnsi"/>
          <w:b/>
          <w:color w:val="auto"/>
        </w:rPr>
        <w:t>Parecer J</w:t>
      </w:r>
      <w:r>
        <w:rPr>
          <w:rFonts w:asciiTheme="minorHAnsi" w:hAnsiTheme="minorHAnsi" w:cstheme="minorHAnsi"/>
          <w:b/>
          <w:color w:val="auto"/>
        </w:rPr>
        <w:t>urídico</w:t>
      </w:r>
      <w:r w:rsidR="006D1008">
        <w:rPr>
          <w:rFonts w:asciiTheme="minorHAnsi" w:hAnsiTheme="minorHAnsi" w:cstheme="minorHAnsi"/>
          <w:b/>
          <w:color w:val="auto"/>
        </w:rPr>
        <w:t xml:space="preserve"> nº </w:t>
      </w:r>
      <w:r w:rsidR="00B0252A">
        <w:rPr>
          <w:rFonts w:asciiTheme="minorHAnsi" w:hAnsiTheme="minorHAnsi" w:cstheme="minorHAnsi"/>
          <w:b/>
          <w:color w:val="auto"/>
        </w:rPr>
        <w:t>19</w:t>
      </w:r>
      <w:r w:rsidR="00AD5C09">
        <w:rPr>
          <w:rFonts w:asciiTheme="minorHAnsi" w:hAnsiTheme="minorHAnsi" w:cstheme="minorHAnsi"/>
          <w:b/>
          <w:color w:val="auto"/>
        </w:rPr>
        <w:t>3</w:t>
      </w:r>
      <w:r w:rsidRPr="00421447">
        <w:rPr>
          <w:rFonts w:asciiTheme="minorHAnsi" w:hAnsiTheme="minorHAnsi" w:cstheme="minorHAnsi"/>
          <w:b/>
          <w:color w:val="auto"/>
        </w:rPr>
        <w:t>/20</w:t>
      </w:r>
      <w:r>
        <w:rPr>
          <w:rFonts w:asciiTheme="minorHAnsi" w:hAnsiTheme="minorHAnsi" w:cstheme="minorHAnsi"/>
          <w:b/>
          <w:color w:val="auto"/>
        </w:rPr>
        <w:t>2</w:t>
      </w:r>
      <w:r w:rsidR="002712E9">
        <w:rPr>
          <w:rFonts w:asciiTheme="minorHAnsi" w:hAnsiTheme="minorHAnsi" w:cstheme="minorHAnsi"/>
          <w:b/>
          <w:color w:val="auto"/>
        </w:rPr>
        <w:t>2</w:t>
      </w:r>
    </w:p>
    <w:p w:rsidR="006852EF" w:rsidRPr="006852EF" w:rsidP="0068682D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Assunto: Projeto de Lei nº </w:t>
      </w:r>
      <w:r w:rsidR="00417214">
        <w:rPr>
          <w:rFonts w:asciiTheme="minorHAnsi" w:hAnsiTheme="minorHAnsi" w:cstheme="minorHAnsi"/>
          <w:b/>
          <w:bCs/>
          <w:sz w:val="24"/>
          <w:szCs w:val="24"/>
        </w:rPr>
        <w:t>92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496AE3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="007163D7">
        <w:rPr>
          <w:rFonts w:asciiTheme="minorHAnsi" w:hAnsiTheme="minorHAnsi" w:cstheme="minorHAnsi"/>
          <w:b/>
          <w:bCs/>
          <w:sz w:val="24"/>
          <w:szCs w:val="24"/>
        </w:rPr>
        <w:t>–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6852EF">
        <w:rPr>
          <w:rFonts w:asciiTheme="minorHAnsi" w:hAnsiTheme="minorHAnsi" w:cstheme="minorHAnsi"/>
          <w:bCs/>
          <w:sz w:val="24"/>
          <w:szCs w:val="24"/>
        </w:rPr>
        <w:t xml:space="preserve">Denominação de Logradouros, denomina “Maria Cecilia Mítica </w:t>
      </w:r>
      <w:r w:rsidRPr="006852EF">
        <w:rPr>
          <w:rFonts w:asciiTheme="minorHAnsi" w:hAnsiTheme="minorHAnsi" w:cstheme="minorHAnsi"/>
          <w:bCs/>
          <w:sz w:val="24"/>
          <w:szCs w:val="24"/>
        </w:rPr>
        <w:t>Torini</w:t>
      </w:r>
      <w:r w:rsidRPr="006852EF">
        <w:rPr>
          <w:rFonts w:asciiTheme="minorHAnsi" w:hAnsiTheme="minorHAnsi" w:cstheme="minorHAnsi"/>
          <w:bCs/>
          <w:sz w:val="24"/>
          <w:szCs w:val="24"/>
        </w:rPr>
        <w:t xml:space="preserve"> ”</w:t>
      </w:r>
      <w:r w:rsidRPr="006852EF">
        <w:rPr>
          <w:rFonts w:asciiTheme="minorHAnsi" w:hAnsiTheme="minorHAnsi" w:cstheme="minorHAnsi"/>
          <w:bCs/>
          <w:sz w:val="24"/>
          <w:szCs w:val="24"/>
        </w:rPr>
        <w:t xml:space="preserve"> o Sistema de Lazer 6, loteamento Village Visconde de Itamaracá, Bairro Vale do Itamaracá, circundado pela Rua Luis </w:t>
      </w:r>
      <w:r w:rsidRPr="006852EF">
        <w:rPr>
          <w:rFonts w:asciiTheme="minorHAnsi" w:hAnsiTheme="minorHAnsi" w:cstheme="minorHAnsi"/>
          <w:bCs/>
          <w:sz w:val="24"/>
          <w:szCs w:val="24"/>
        </w:rPr>
        <w:t>Galdin</w:t>
      </w:r>
      <w:r w:rsidRPr="006852EF">
        <w:rPr>
          <w:rFonts w:asciiTheme="minorHAnsi" w:hAnsiTheme="minorHAnsi" w:cstheme="minorHAnsi"/>
          <w:bCs/>
          <w:sz w:val="24"/>
          <w:szCs w:val="24"/>
        </w:rPr>
        <w:t xml:space="preserve"> e pelas quadras F e G do mesmo loteamento.</w:t>
      </w:r>
    </w:p>
    <w:p w:rsidR="0068682D" w:rsidP="0068682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A60D6">
        <w:rPr>
          <w:rFonts w:asciiTheme="minorHAnsi" w:hAnsiTheme="minorHAnsi" w:cstheme="minorHAnsi"/>
          <w:b/>
          <w:bCs/>
          <w:sz w:val="24"/>
          <w:szCs w:val="24"/>
        </w:rPr>
        <w:t xml:space="preserve">Autoria </w:t>
      </w:r>
      <w:r w:rsidR="00B24D6B">
        <w:rPr>
          <w:rFonts w:asciiTheme="minorHAnsi" w:hAnsiTheme="minorHAnsi" w:cstheme="minorHAnsi"/>
          <w:b/>
          <w:bCs/>
          <w:sz w:val="24"/>
          <w:szCs w:val="24"/>
        </w:rPr>
        <w:t>do Vereador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52EF">
        <w:rPr>
          <w:rFonts w:asciiTheme="minorHAnsi" w:hAnsiTheme="minorHAnsi" w:cstheme="minorHAnsi"/>
          <w:b/>
          <w:bCs/>
          <w:sz w:val="24"/>
          <w:szCs w:val="24"/>
        </w:rPr>
        <w:t>Edinho Garcia.</w:t>
      </w:r>
    </w:p>
    <w:p w:rsidR="0068682D" w:rsidRPr="0068682D" w:rsidP="0068682D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68682D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24D6B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24D6B" w:rsidRPr="007C3334" w:rsidP="00BC7B23">
      <w:pPr>
        <w:pStyle w:val="Default"/>
        <w:jc w:val="both"/>
        <w:rPr>
          <w:rFonts w:eastAsia="Times New Roman" w:asciiTheme="minorHAnsi" w:hAnsiTheme="minorHAnsi" w:cstheme="minorHAnsi"/>
          <w:b/>
          <w:bCs/>
          <w:color w:val="auto"/>
        </w:rPr>
      </w:pP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À Comissão de Justiça e Redação</w:t>
      </w:r>
    </w:p>
    <w:p w:rsidR="00BC7B23" w:rsidP="00BC7B23">
      <w:pPr>
        <w:pStyle w:val="Default"/>
        <w:jc w:val="both"/>
        <w:rPr>
          <w:rFonts w:asciiTheme="minorHAnsi" w:hAnsiTheme="minorHAnsi" w:cstheme="minorHAnsi"/>
          <w:b/>
          <w:i/>
          <w:color w:val="auto"/>
        </w:rPr>
      </w:pPr>
      <w:r>
        <w:rPr>
          <w:rFonts w:asciiTheme="minorHAnsi" w:hAnsiTheme="minorHAnsi" w:cstheme="minorHAnsi"/>
          <w:b/>
          <w:i/>
          <w:color w:val="auto"/>
        </w:rPr>
        <w:t>Exmo. Presidente Vereador Sidmar Rodrigo Toloi</w:t>
      </w: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D1008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B24D6B" w:rsidP="00BC7B23">
      <w:pPr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</w:p>
    <w:p w:rsidR="0068682D" w:rsidRPr="00B24D6B" w:rsidP="006852EF">
      <w:pPr>
        <w:spacing w:after="240" w:line="360" w:lineRule="auto"/>
        <w:ind w:firstLine="2268"/>
        <w:jc w:val="both"/>
        <w:rPr>
          <w:rFonts w:asciiTheme="minorHAnsi" w:hAnsiTheme="minorHAnsi" w:cstheme="minorHAnsi"/>
          <w:i/>
          <w:sz w:val="24"/>
          <w:szCs w:val="24"/>
        </w:rPr>
      </w:pPr>
      <w:r w:rsidRPr="002712E9">
        <w:rPr>
          <w:rFonts w:asciiTheme="minorHAnsi" w:hAnsiTheme="minorHAnsi" w:cstheme="minorHAnsi"/>
          <w:sz w:val="24"/>
          <w:szCs w:val="24"/>
        </w:rPr>
        <w:t>Trata-se de parecer jurídico relativo ao projeto em epígrafe que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852EF">
        <w:rPr>
          <w:rFonts w:asciiTheme="minorHAnsi" w:hAnsiTheme="minorHAnsi" w:cstheme="minorHAnsi"/>
          <w:i/>
          <w:sz w:val="24"/>
          <w:szCs w:val="24"/>
        </w:rPr>
        <w:t>“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 xml:space="preserve">Denominação de Logradouros, denomina “Maria Cecilia Mítica 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>Torini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 xml:space="preserve"> ”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 xml:space="preserve"> o Sistema de Lazer 6, loteamento Village Visconde de Itamaracá, Bairro Vale do Itamaracá, 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>circundado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 xml:space="preserve"> pela Rua Luis 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>Galdin</w:t>
      </w:r>
      <w:r w:rsidRPr="006852EF" w:rsidR="006852EF">
        <w:rPr>
          <w:rFonts w:asciiTheme="minorHAnsi" w:hAnsiTheme="minorHAnsi" w:cstheme="minorHAnsi"/>
          <w:bCs/>
          <w:i/>
          <w:sz w:val="24"/>
          <w:szCs w:val="24"/>
        </w:rPr>
        <w:t xml:space="preserve"> e pelas quadras F e G do mesmo loteamento</w:t>
      </w:r>
      <w:r w:rsidRPr="00B24D6B">
        <w:rPr>
          <w:rFonts w:asciiTheme="minorHAnsi" w:hAnsiTheme="minorHAnsi" w:cstheme="minorHAnsi"/>
          <w:i/>
          <w:sz w:val="24"/>
          <w:szCs w:val="24"/>
        </w:rPr>
        <w:t>”.</w:t>
      </w:r>
    </w:p>
    <w:p w:rsidR="00BC7B23" w:rsidRPr="005F5B0F" w:rsidP="00B16224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i/>
          <w:sz w:val="24"/>
          <w:szCs w:val="24"/>
        </w:rPr>
        <w:t>Ab initio</w:t>
      </w:r>
      <w:r w:rsidRPr="005F5B0F">
        <w:rPr>
          <w:rFonts w:asciiTheme="minorHAnsi" w:hAnsiTheme="minorHAnsi" w:cstheme="minorHAnsi"/>
          <w:sz w:val="24"/>
          <w:szCs w:val="24"/>
        </w:rPr>
        <w:t>, cumpre destacar a competência regimental da Comissão de Justiça e Redação, estabelecida no artigo 38.</w:t>
      </w:r>
    </w:p>
    <w:p w:rsidR="00BC7B23" w:rsidRPr="005F5B0F" w:rsidP="00B24D6B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F5B0F">
        <w:rPr>
          <w:rFonts w:asciiTheme="minorHAnsi" w:hAnsiTheme="minorHAnsi" w:cstheme="minorHAnsi"/>
          <w:sz w:val="24"/>
          <w:szCs w:val="24"/>
        </w:rPr>
        <w:t>Outrossim</w:t>
      </w:r>
      <w:r w:rsidRPr="005F5B0F">
        <w:rPr>
          <w:rFonts w:asciiTheme="minorHAnsi" w:hAnsiTheme="minorHAnsi" w:cstheme="minorHAnsi"/>
          <w:sz w:val="24"/>
          <w:szCs w:val="24"/>
        </w:rPr>
        <w:t>, ressalta-se que a opinião jurídica exarada neste parecer não tem força vinculante, sendo meramente opinativo não fundamentando decisão proferida pelas Comissões e/ou nobres vereadores.</w:t>
      </w:r>
      <w:r w:rsidR="00B24D6B">
        <w:rPr>
          <w:rFonts w:asciiTheme="minorHAnsi" w:hAnsiTheme="minorHAnsi" w:cstheme="minorHAnsi"/>
          <w:sz w:val="24"/>
          <w:szCs w:val="24"/>
        </w:rPr>
        <w:t xml:space="preserve"> </w:t>
      </w:r>
      <w:r w:rsidRPr="00B24D6B">
        <w:rPr>
          <w:rFonts w:asciiTheme="minorHAnsi" w:hAnsiTheme="minorHAnsi" w:cstheme="minorHAnsi"/>
          <w:sz w:val="24"/>
          <w:szCs w:val="24"/>
        </w:rPr>
        <w:t>Nesse sentido é o entendimento do Supremo Tribunal Federal:</w:t>
      </w:r>
      <w:r w:rsidRPr="005F5B0F">
        <w:rPr>
          <w:rFonts w:asciiTheme="minorHAnsi" w:hAnsiTheme="minorHAnsi" w:cstheme="minorHAnsi"/>
        </w:rPr>
        <w:t xml:space="preserve"> </w:t>
      </w:r>
    </w:p>
    <w:p w:rsidR="00BC7B23" w:rsidRPr="005F5B0F" w:rsidP="00BC7B23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5B0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5F5B0F">
        <w:rPr>
          <w:rFonts w:asciiTheme="minorHAnsi" w:hAnsiTheme="minorHAnsi" w:cstheme="minorHAnsi"/>
          <w:i/>
          <w:sz w:val="22"/>
          <w:szCs w:val="22"/>
        </w:rPr>
        <w:t>exoficio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</w:t>
      </w:r>
      <w:r w:rsidRPr="005F5B0F">
        <w:rPr>
          <w:rFonts w:asciiTheme="minorHAnsi" w:hAnsiTheme="minorHAnsi" w:cstheme="minorHAnsi"/>
          <w:i/>
          <w:sz w:val="22"/>
          <w:szCs w:val="22"/>
        </w:rPr>
        <w:t>opinativo que poderia ser, ou não, considerado pelo administrador.” (Mandado de Segurança n° 24.584-1 - Distrito Federal - Relator: Min. Marco Aurélio de Mello – STF.</w:t>
      </w:r>
      <w:r w:rsidRPr="005F5B0F">
        <w:rPr>
          <w:rFonts w:asciiTheme="minorHAnsi" w:hAnsiTheme="minorHAnsi" w:cstheme="minorHAnsi"/>
          <w:i/>
          <w:sz w:val="22"/>
          <w:szCs w:val="22"/>
        </w:rPr>
        <w:t>)</w:t>
      </w:r>
      <w:r w:rsidRPr="005F5B0F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434A5E" w:rsidP="00BC7B23">
      <w:pPr>
        <w:tabs>
          <w:tab w:val="left" w:pos="1701"/>
          <w:tab w:val="left" w:pos="2268"/>
        </w:tabs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5B0F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34A5E">
        <w:rPr>
          <w:rFonts w:asciiTheme="minorHAnsi" w:hAnsiTheme="minorHAnsi" w:cstheme="minorHAnsi"/>
          <w:sz w:val="24"/>
          <w:szCs w:val="24"/>
        </w:rPr>
        <w:t>Desta feita, considerando os aspectos constitucionais</w:t>
      </w:r>
      <w:r>
        <w:rPr>
          <w:rFonts w:asciiTheme="minorHAnsi" w:hAnsiTheme="minorHAnsi" w:cstheme="minorHAnsi"/>
          <w:sz w:val="24"/>
          <w:szCs w:val="24"/>
        </w:rPr>
        <w:t>, legais e jurídicos</w:t>
      </w:r>
      <w:r w:rsidRPr="00434A5E">
        <w:rPr>
          <w:rFonts w:asciiTheme="minorHAnsi" w:hAnsiTheme="minorHAnsi" w:cstheme="minorHAnsi"/>
          <w:sz w:val="24"/>
          <w:szCs w:val="24"/>
        </w:rPr>
        <w:t xml:space="preserve">, passamos a </w:t>
      </w:r>
      <w:r w:rsidRPr="00434A5E">
        <w:rPr>
          <w:rFonts w:asciiTheme="minorHAnsi" w:hAnsiTheme="minorHAnsi" w:cstheme="minorHAnsi"/>
          <w:b/>
          <w:sz w:val="24"/>
          <w:szCs w:val="24"/>
        </w:rPr>
        <w:t>análise técnica</w:t>
      </w:r>
      <w:r w:rsidRPr="00434A5E">
        <w:rPr>
          <w:rFonts w:asciiTheme="minorHAnsi" w:hAnsiTheme="minorHAnsi" w:cstheme="minorHAnsi"/>
          <w:sz w:val="24"/>
          <w:szCs w:val="24"/>
        </w:rPr>
        <w:t xml:space="preserve"> do projeto em epígrafe solicitado.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No tocante à matéria os Municípios foram dotados de autonomia legislativa, que vem consubstanciada na capacidade de legislar sobre assuntos de interesse local (art. 30, inciso I da CRFB/88), como no caso em questão. </w:t>
      </w:r>
    </w:p>
    <w:p w:rsidR="00BC7B23" w:rsidRPr="00421447" w:rsidP="00BC7B23">
      <w:pPr>
        <w:spacing w:after="24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Dispõe o art. 8º, XVI, da Lei Orgânica do Município, bem como o art. 26, do Regimento Interno desta Casa de Leis que o Legislativo Municipal pode denominar vias e logradouros públicos obedecidos às normas urbanísticas aplicáveis, sendo referida competência concorrente com o Prefeito.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8º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BC7B23" w:rsidRPr="00986304" w:rsidP="007A6DB6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XVI - legislar sobre a denominação de próprios, bairros, vias e logradouros públicos;</w:t>
      </w:r>
    </w:p>
    <w:p w:rsidR="007A6DB6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Artigo 26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- À Câmara cabe legislar, com a sanção do Prefeito, sobre as matérias de competência do Município, especialmente: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XIV - autorizar a alteração da denominação de próprios, vias e logradouros públicos. </w:t>
      </w:r>
    </w:p>
    <w:p w:rsidR="00BC7B23" w:rsidRPr="00421447" w:rsidP="00BC7B23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</w:tabs>
        <w:spacing w:after="320" w:line="360" w:lineRule="auto"/>
        <w:jc w:val="both"/>
        <w:rPr>
          <w:rFonts w:asciiTheme="minorHAnsi" w:hAnsiTheme="minorHAnsi" w:cstheme="minorHAnsi"/>
          <w:sz w:val="4"/>
          <w:szCs w:val="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A Lei Municipal nº 2.376, de 22 de maio de 1991 fixa normas para apresentação de projetos de lei relativos à denominação de logradouros públicos: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1º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Os projetos de denominação de logradouros públicos deverão atender as seguintes exigências: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 – vir acompanhado de biografia do cidadão ou instituição a que se pretende homenagear, com relação dos serviços prestados à comunidade, cargos ocupados, dedicação à causa pública, exemplo de cidadania e outras qualidades que devem ser destacados;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 – conter apenas uma denominação de logradouro em cada projeto;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III – ser o cidadão homenageado pessoa já falecida há pelo menos noventa dias;</w:t>
      </w:r>
    </w:p>
    <w:p w:rsidR="00BC7B23" w:rsidRPr="0042144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IV – que não </w:t>
      </w:r>
      <w:r w:rsidRPr="00986304">
        <w:rPr>
          <w:rFonts w:asciiTheme="minorHAnsi" w:hAnsiTheme="minorHAnsi" w:cstheme="minorHAnsi"/>
          <w:i/>
          <w:sz w:val="22"/>
          <w:szCs w:val="22"/>
        </w:rPr>
        <w:t>exista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outros logradouros públicos com o nome da pessoa ou instituição proposta</w:t>
      </w:r>
      <w:r w:rsidRPr="00421447">
        <w:rPr>
          <w:rFonts w:asciiTheme="minorHAnsi" w:hAnsiTheme="minorHAnsi" w:cstheme="minorHAnsi"/>
          <w:i/>
          <w:sz w:val="24"/>
          <w:szCs w:val="24"/>
        </w:rPr>
        <w:t>.</w:t>
      </w:r>
    </w:p>
    <w:p w:rsidR="00BC7B23" w:rsidRPr="00421447" w:rsidP="00BC7B23">
      <w:pPr>
        <w:spacing w:after="120"/>
        <w:ind w:left="2835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BC7B23" w:rsidRPr="00421447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 w:rsidRPr="00421447">
        <w:rPr>
          <w:rFonts w:asciiTheme="minorHAnsi" w:hAnsiTheme="minorHAnsi" w:cstheme="minorHAnsi"/>
          <w:sz w:val="24"/>
          <w:szCs w:val="24"/>
        </w:rPr>
        <w:t>No mesmo sentido temos as previsões constantes do Regimento Interno: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86B56">
        <w:rPr>
          <w:rFonts w:asciiTheme="minorHAnsi" w:hAnsiTheme="minorHAnsi" w:cstheme="minorHAnsi"/>
          <w:b/>
          <w:i/>
          <w:sz w:val="22"/>
          <w:szCs w:val="22"/>
        </w:rPr>
        <w:t>Art. 41.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Compete à Comissão de Cultura, Denominação de Logradouros Públicos e Assistência Social: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(...)</w:t>
      </w:r>
    </w:p>
    <w:p w:rsidR="00BC7B23" w:rsidRP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D1008">
        <w:rPr>
          <w:rFonts w:asciiTheme="minorHAnsi" w:hAnsiTheme="minorHAnsi" w:cstheme="minorHAnsi"/>
          <w:b/>
          <w:i/>
          <w:sz w:val="22"/>
          <w:szCs w:val="22"/>
        </w:rPr>
        <w:t xml:space="preserve">§ 1º. Para que o projeto de denominação de logradouro público possa receber parecer da Comissão, deverá atender, obrigatoriamente, às seguintes exigências: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 - vir acompanhado de biografia completa do cidadão ou instituição a que se pretende homenagear, com relação dos serviços prestados à comunidade, cargos ocupados, dedicação à causa pública, exemplo de cidadania e outras qualidades que devam ser destacadas;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 - conter apenas uma denominação de logradouro em cada projeto;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III - ser a homenageada pessoa já falecida há pelo menos noventa dias; </w:t>
      </w:r>
      <w:r w:rsidRPr="00986304">
        <w:rPr>
          <w:rFonts w:asciiTheme="minorHAnsi" w:hAnsiTheme="minorHAnsi" w:cstheme="minorHAnsi"/>
          <w:i/>
          <w:sz w:val="22"/>
          <w:szCs w:val="22"/>
        </w:rPr>
        <w:t>e</w:t>
      </w:r>
      <w:r w:rsidRPr="00986304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BC7B23" w:rsidRPr="00986304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>IV - que não exista outro logradouro público com o nome da pessoa ou instituição proposta.</w:t>
      </w:r>
    </w:p>
    <w:p w:rsidR="00BC7B23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86304">
        <w:rPr>
          <w:rFonts w:asciiTheme="minorHAnsi" w:hAnsiTheme="minorHAnsi" w:cstheme="minorHAnsi"/>
          <w:i/>
          <w:sz w:val="22"/>
          <w:szCs w:val="22"/>
        </w:rPr>
        <w:t xml:space="preserve">§ 2º. O autor do projeto de denominação de logradouro público terá que obedecer ao prazo de trinta dias entre uma e outra </w:t>
      </w:r>
      <w:r w:rsidRPr="00986304">
        <w:rPr>
          <w:rFonts w:asciiTheme="minorHAnsi" w:hAnsiTheme="minorHAnsi" w:cstheme="minorHAnsi"/>
          <w:i/>
          <w:sz w:val="22"/>
          <w:szCs w:val="22"/>
        </w:rPr>
        <w:t>proposição, a contar da data firmada no protocolo da Secretaria Administrativa da Câmara.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EA41C7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41C7">
        <w:rPr>
          <w:rFonts w:asciiTheme="minorHAnsi" w:hAnsiTheme="minorHAnsi" w:cstheme="minorHAnsi"/>
          <w:i/>
          <w:sz w:val="22"/>
          <w:szCs w:val="22"/>
        </w:rPr>
        <w:t>§ 5º Todo projeto que verse sobre denominação de logradouro público, via ou próprio municipal deverá ser instruído com pesquisa junto ao Executivo, atinentes às exigências do § 1º deste artigo, devendo o projeto ser protocolado em até 30 (trinta) dias da data da resposta do Poder Executivo.</w:t>
      </w:r>
    </w:p>
    <w:p w:rsidR="006D1008" w:rsidP="007A6DB6">
      <w:pPr>
        <w:spacing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6D1008" w:rsidRPr="00EA41C7" w:rsidP="006D1008">
      <w:pPr>
        <w:spacing w:after="320" w:line="360" w:lineRule="auto"/>
        <w:ind w:firstLine="2127"/>
        <w:jc w:val="both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EA41C7">
        <w:rPr>
          <w:rFonts w:asciiTheme="minorHAnsi" w:hAnsiTheme="minorHAnsi" w:cstheme="minorHAnsi"/>
          <w:sz w:val="24"/>
          <w:szCs w:val="24"/>
          <w:u w:val="single"/>
        </w:rPr>
        <w:t>Consta do processo legislativo o parecer da Comissão de Cultura, Denominação de Logradouros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Públicos e Assistência Social </w:t>
      </w:r>
      <w:r w:rsidR="001772A2">
        <w:rPr>
          <w:rFonts w:asciiTheme="minorHAnsi" w:hAnsiTheme="minorHAnsi" w:cstheme="minorHAnsi"/>
          <w:sz w:val="24"/>
          <w:szCs w:val="24"/>
          <w:u w:val="single"/>
        </w:rPr>
        <w:t xml:space="preserve">(página 09) </w:t>
      </w:r>
      <w:bookmarkStart w:id="0" w:name="_GoBack"/>
      <w:bookmarkEnd w:id="0"/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que realizou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a verificação dos requisitos legais nos termos do § 1º, art. 41,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 do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R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 xml:space="preserve">egimento 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I</w:t>
      </w:r>
      <w:r w:rsidRPr="00EA41C7" w:rsidR="00EA41C7">
        <w:rPr>
          <w:rFonts w:asciiTheme="minorHAnsi" w:hAnsiTheme="minorHAnsi" w:cstheme="minorHAnsi"/>
          <w:sz w:val="24"/>
          <w:szCs w:val="24"/>
          <w:u w:val="single"/>
        </w:rPr>
        <w:t>nterno</w:t>
      </w:r>
      <w:r w:rsidRPr="00EA41C7">
        <w:rPr>
          <w:rFonts w:asciiTheme="minorHAnsi" w:hAnsiTheme="minorHAnsi" w:cstheme="minorHAnsi"/>
          <w:sz w:val="24"/>
          <w:szCs w:val="24"/>
          <w:u w:val="single"/>
        </w:rPr>
        <w:t>.</w:t>
      </w:r>
    </w:p>
    <w:p w:rsidR="00BC7B23" w:rsidP="00BC7B23">
      <w:pPr>
        <w:spacing w:after="320" w:line="360" w:lineRule="auto"/>
        <w:ind w:firstLine="170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>A</w:t>
      </w:r>
      <w:r w:rsidRPr="00421447">
        <w:rPr>
          <w:rFonts w:asciiTheme="minorHAnsi" w:hAnsiTheme="minorHAnsi" w:cstheme="minorHAnsi"/>
          <w:sz w:val="24"/>
          <w:szCs w:val="24"/>
        </w:rPr>
        <w:t xml:space="preserve"> matéria tratada na propositura em análise não está inserida no rol </w:t>
      </w:r>
      <w:r w:rsidRPr="00421447">
        <w:rPr>
          <w:rFonts w:asciiTheme="minorHAnsi" w:hAnsiTheme="minorHAnsi" w:cstheme="minorHAnsi"/>
          <w:i/>
          <w:sz w:val="24"/>
          <w:szCs w:val="24"/>
        </w:rPr>
        <w:t>numerus</w:t>
      </w:r>
      <w:r w:rsidRPr="0042144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21447">
        <w:rPr>
          <w:rFonts w:asciiTheme="minorHAnsi" w:hAnsiTheme="minorHAnsi" w:cstheme="minorHAnsi"/>
          <w:i/>
          <w:sz w:val="24"/>
          <w:szCs w:val="24"/>
        </w:rPr>
        <w:t>clausus</w:t>
      </w:r>
      <w:r w:rsidRPr="00421447">
        <w:rPr>
          <w:rFonts w:asciiTheme="minorHAnsi" w:hAnsiTheme="minorHAnsi" w:cstheme="minorHAnsi"/>
          <w:sz w:val="24"/>
          <w:szCs w:val="24"/>
        </w:rPr>
        <w:t xml:space="preserve"> que confere iniciativa reservada ao Chefe do Poder Executivo nos processos legislativos (art. 61,</w:t>
      </w:r>
      <w:r w:rsidRPr="00421447">
        <w:rPr>
          <w:rFonts w:ascii="Calibri" w:hAnsi="Calibri" w:cs="Courier New"/>
          <w:sz w:val="24"/>
          <w:szCs w:val="24"/>
        </w:rPr>
        <w:t xml:space="preserve"> CF; art. 24, § 2º da Constituição Bandeirante; e art. 48, da LOM</w:t>
      </w:r>
      <w:r w:rsidRPr="00421447">
        <w:rPr>
          <w:rFonts w:asciiTheme="minorHAnsi" w:hAnsiTheme="minorHAnsi" w:cstheme="minorHAnsi"/>
          <w:sz w:val="24"/>
          <w:szCs w:val="24"/>
        </w:rPr>
        <w:t>).</w:t>
      </w:r>
    </w:p>
    <w:p w:rsidR="00BC7B23" w:rsidP="00BC7B23">
      <w:pPr>
        <w:spacing w:after="320"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Supremo Tribunal Federal, em sede de Recurso </w:t>
      </w:r>
      <w:r w:rsidRPr="006714AD">
        <w:rPr>
          <w:rFonts w:asciiTheme="minorHAnsi" w:hAnsiTheme="minorHAnsi" w:cstheme="minorHAnsi"/>
          <w:sz w:val="24"/>
          <w:szCs w:val="24"/>
        </w:rPr>
        <w:t xml:space="preserve">Extraordinário com repercussão geral reconhecida, assentou entendimento no sentido </w:t>
      </w:r>
      <w:r w:rsidRPr="006714AD">
        <w:rPr>
          <w:rFonts w:asciiTheme="minorHAnsi" w:hAnsiTheme="minorHAnsi"/>
          <w:sz w:val="24"/>
          <w:szCs w:val="24"/>
        </w:rPr>
        <w:t xml:space="preserve">da </w:t>
      </w:r>
      <w:r w:rsidRPr="000E5C8F">
        <w:rPr>
          <w:rFonts w:asciiTheme="minorHAnsi" w:hAnsiTheme="minorHAnsi"/>
          <w:b/>
          <w:sz w:val="24"/>
          <w:szCs w:val="24"/>
        </w:rPr>
        <w:t xml:space="preserve">existência de uma coabitação normativa entre os Poderes Executivo (decreto) e Legislativo (lei formal), para o exercício da competência destinada </w:t>
      </w:r>
      <w:r w:rsidRPr="000E5C8F">
        <w:rPr>
          <w:rFonts w:asciiTheme="minorHAnsi" w:hAnsiTheme="minorHAnsi"/>
          <w:b/>
          <w:sz w:val="24"/>
          <w:szCs w:val="24"/>
        </w:rPr>
        <w:t>a</w:t>
      </w:r>
      <w:r w:rsidRPr="000E5C8F">
        <w:rPr>
          <w:rFonts w:asciiTheme="minorHAnsi" w:hAnsiTheme="minorHAnsi"/>
          <w:b/>
          <w:sz w:val="24"/>
          <w:szCs w:val="24"/>
        </w:rPr>
        <w:t xml:space="preserve"> denominação de próprios, vias e logradouros públicos e suas alterações</w:t>
      </w:r>
      <w:r w:rsidRPr="006714AD">
        <w:rPr>
          <w:rFonts w:asciiTheme="minorHAnsi" w:hAnsiTheme="minorHAnsi" w:cstheme="minorHAnsi"/>
          <w:sz w:val="24"/>
          <w:szCs w:val="24"/>
        </w:rPr>
        <w:t>:</w:t>
      </w:r>
    </w:p>
    <w:p w:rsidR="00BC7B23" w:rsidRPr="004A372A" w:rsidP="007A6DB6">
      <w:pPr>
        <w:spacing w:after="80" w:line="300" w:lineRule="auto"/>
        <w:ind w:firstLine="1701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21447">
        <w:rPr>
          <w:rFonts w:asciiTheme="minorHAnsi" w:hAnsiTheme="minorHAnsi" w:cstheme="minorHAnsi"/>
          <w:sz w:val="24"/>
          <w:szCs w:val="24"/>
        </w:rPr>
        <w:t xml:space="preserve">  </w:t>
      </w:r>
      <w:r w:rsidRPr="0042144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4A372A">
        <w:rPr>
          <w:rFonts w:asciiTheme="minorHAnsi" w:hAnsiTheme="minorHAnsi" w:cstheme="minorHAnsi"/>
          <w:b/>
          <w:i/>
          <w:sz w:val="22"/>
          <w:szCs w:val="22"/>
        </w:rPr>
        <w:t>SUPREMO TRIBUNAL FEDERAL</w:t>
      </w:r>
    </w:p>
    <w:p w:rsidR="00BC7B23" w:rsidRPr="004A372A" w:rsidP="007A6DB6">
      <w:pPr>
        <w:spacing w:after="8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A372A">
        <w:rPr>
          <w:rFonts w:asciiTheme="minorHAnsi" w:hAnsiTheme="minorHAnsi" w:cstheme="minorHAnsi"/>
          <w:i/>
          <w:sz w:val="22"/>
          <w:szCs w:val="22"/>
        </w:rPr>
        <w:t>03/10/2019</w:t>
      </w:r>
    </w:p>
    <w:p w:rsidR="00BC7B23" w:rsidRPr="004A372A" w:rsidP="007A6DB6">
      <w:pPr>
        <w:spacing w:after="80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RECURSO EXTRAORDINÁRIO 1.151.237 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RELATOR: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MIN. ALEXANDREDE </w:t>
      </w:r>
      <w:r w:rsidRPr="00821921">
        <w:rPr>
          <w:rFonts w:asciiTheme="minorHAnsi" w:hAnsiTheme="minorHAnsi"/>
          <w:i/>
          <w:sz w:val="22"/>
          <w:szCs w:val="22"/>
        </w:rPr>
        <w:t>MORAES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RECTE.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MESADA CÂMARA MUNICIPALDE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ALMIR ISMAEL BARBOSA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MARCIA PEGORELLI ANTUNES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RECDO.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(A/S</w:t>
      </w:r>
      <w:r w:rsidRPr="00821921">
        <w:rPr>
          <w:rFonts w:asciiTheme="minorHAnsi" w:hAnsiTheme="minorHAnsi"/>
          <w:i/>
          <w:sz w:val="22"/>
          <w:szCs w:val="22"/>
        </w:rPr>
        <w:t>):</w:t>
      </w:r>
      <w:r w:rsidRPr="00821921">
        <w:rPr>
          <w:rFonts w:asciiTheme="minorHAnsi" w:hAnsiTheme="minorHAnsi"/>
          <w:i/>
          <w:sz w:val="22"/>
          <w:szCs w:val="22"/>
        </w:rPr>
        <w:t>PROCURADOR-GERALDE JUSTIÇADO ESTADODESÃO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PROC.(A/S</w:t>
      </w:r>
      <w:r w:rsidRPr="00821921">
        <w:rPr>
          <w:rFonts w:asciiTheme="minorHAnsi" w:hAnsiTheme="minorHAnsi"/>
          <w:i/>
          <w:sz w:val="22"/>
          <w:szCs w:val="22"/>
        </w:rPr>
        <w:t>)(</w:t>
      </w:r>
      <w:r w:rsidRPr="00821921">
        <w:rPr>
          <w:rFonts w:asciiTheme="minorHAnsi" w:hAnsiTheme="minorHAnsi"/>
          <w:i/>
          <w:sz w:val="22"/>
          <w:szCs w:val="22"/>
        </w:rPr>
        <w:t>ES):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PROCURADOR-GERALDE JUSTIÇA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 ESTADO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SÃO PAULO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LIT.PAS</w:t>
      </w:r>
      <w:r w:rsidRPr="00821921">
        <w:rPr>
          <w:rFonts w:asciiTheme="minorHAnsi" w:hAnsiTheme="minorHAnsi"/>
          <w:i/>
          <w:sz w:val="22"/>
          <w:szCs w:val="22"/>
        </w:rPr>
        <w:t>.: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PREFEITODO MUNICÍPIODE SOROCABA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ADV.(A/S):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GUSTAVO PORTELA BARATADE ALMEIDA</w:t>
      </w: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i/>
          <w:sz w:val="22"/>
          <w:szCs w:val="22"/>
          <w:u w:val="single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Ementa: </w:t>
      </w:r>
      <w:r w:rsidRPr="00821921">
        <w:rPr>
          <w:rFonts w:asciiTheme="minorHAnsi" w:hAnsiTheme="minorHAnsi"/>
          <w:b/>
          <w:i/>
          <w:sz w:val="22"/>
          <w:szCs w:val="22"/>
        </w:rPr>
        <w:t>RECURSO EXTRAORDINÁRIO COM REPERCUSSÃO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GERAL RECONHECIDA. COMPETÊNCIA PARA DENOMINAÇÃO DEPRÓPRIOS, VIAS E LOGRADOUROS PÚBLICOS E SUAS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 xml:space="preserve">ALTERAÇÕES.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COABITAÇÃO NORMATIVA ENTRE OS PODERES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EXECUTIVO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(DECRETO) E O LEGISLATIVO (LEI FORMAL), CADA</w:t>
      </w:r>
      <w:r w:rsidRPr="004A372A">
        <w:rPr>
          <w:rFonts w:asciiTheme="minorHAnsi" w:hAnsiTheme="minorHAnsi"/>
          <w:b/>
          <w:i/>
          <w:sz w:val="22"/>
          <w:szCs w:val="22"/>
          <w:u w:val="single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  <w:u w:val="single"/>
        </w:rPr>
        <w:t>QUAL NO ÂMBITO DE SUAS ATRIBUIÇÕES</w:t>
      </w:r>
      <w:r w:rsidRPr="00821921">
        <w:rPr>
          <w:rFonts w:asciiTheme="minorHAnsi" w:hAnsiTheme="minorHAnsi"/>
          <w:i/>
          <w:sz w:val="22"/>
          <w:szCs w:val="22"/>
          <w:u w:val="single"/>
        </w:rPr>
        <w:t xml:space="preserve">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1. Tem-se, na origem, ação direta de inconstitucionalidade proposta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perante o Tribunal de Justiça do Estado de São Paulo em face do art. 33,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XII, da Lei Orgânica do Município de Sorocaba, que assim dispõe: “</w:t>
      </w:r>
      <w:r w:rsidRPr="00821921">
        <w:rPr>
          <w:rFonts w:asciiTheme="minorHAnsi" w:hAnsiTheme="minorHAnsi"/>
          <w:b/>
          <w:i/>
          <w:sz w:val="22"/>
          <w:szCs w:val="22"/>
        </w:rPr>
        <w:t>Art.33. Cabe à Câmara Municipal, com a sanção do Prefeito, legislar sobre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as matérias de competência do Município, especialmente no que se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refere ao seguinte: (...) XII – denominação de próprios, vias e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b/>
          <w:i/>
          <w:sz w:val="22"/>
          <w:szCs w:val="22"/>
        </w:rPr>
        <w:t>logradouros públicos e suas alterações</w:t>
      </w:r>
      <w:r w:rsidRPr="00821921">
        <w:rPr>
          <w:rFonts w:asciiTheme="minorHAnsi" w:hAnsiTheme="minorHAnsi"/>
          <w:i/>
          <w:sz w:val="22"/>
          <w:szCs w:val="22"/>
        </w:rPr>
        <w:t>”.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2. Na inicial da ação direta, a Procuradoria-Geral de Justiça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Estado de São Paulo sustenta que tal atribuição é privativa do Chefe do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Poder Executivo.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 w:cs="Arial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3. O Tribunal de Justiça do Estado de São Paulo julgou procedente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ação no ponto, por considerar que a denominação de vias públicas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compete tanto ao Poder Legislativo, quanto ao Executivo. Assim, reputou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inconstitucional a norma, porque concede tal prerrogativa unicamente à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Câmara Municipal.</w:t>
      </w:r>
      <w:r w:rsidRPr="00821921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4. A Constituição Federal consagrou o Município como entidade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federativa indispensável ao nosso sistema federativo, integrando-o na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organização político-administrativa e garantindo-lhe plena autonomia,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se nota na análise dos artigos 1º, 18, 29, 30 e 34, VII, c, todos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Constituição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5. As competências legislativas do município caracterizam-se pelo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princípio da predominância do interesse local, que, apesar de difícil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conceituação, refere-se àqueles </w:t>
      </w:r>
      <w:r w:rsidRPr="00821921">
        <w:rPr>
          <w:rFonts w:asciiTheme="minorHAnsi" w:hAnsiTheme="minorHAnsi"/>
          <w:i/>
          <w:sz w:val="22"/>
          <w:szCs w:val="22"/>
        </w:rPr>
        <w:t>interesses que disserem respeito mais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diretamente às suas necessidades imediatas.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6. A atividade legislativa municipal submete-se à Lei Orgânica dos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municípios, à qual cabe o importante papel de definir, mesmo que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exemplificativamente, as matérias de competência legislativa da Câmara,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uma vez que a Constituição Federal (artigos 30 e 31) não as exaure, pois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usa a expressão interesse local como catalisador dos assuntos 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competência municipal. Essa função legislativa é exercida pela Câmara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dos Vereadores, que é o órgão legislativo do município, em colaboração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 o prefeito, a quem cabe também o poder de iniciativa das leis, assim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como o poder de sancioná-las e promulgá-las, nos termos propostos como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modelo, pelo processo legislativo federal.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 xml:space="preserve">7. </w:t>
      </w:r>
      <w:r w:rsidRPr="00386B56">
        <w:rPr>
          <w:rFonts w:asciiTheme="minorHAnsi" w:hAnsiTheme="minorHAnsi"/>
          <w:b/>
          <w:i/>
          <w:sz w:val="22"/>
          <w:szCs w:val="22"/>
        </w:rPr>
        <w:t>A Lei Orgânica do Município de Sorocaba, ao estabelecer, em seu artigo 33, inciso XII, como matéria de interesse local, e, consequentemente, de competência legislativa municipal, a disciplina de denominação de próprios, vias e logradouros públicos e suas alterações, representa legítimo exercício da competência legislativa municipal. Não há dúvida de que se trata de assunto predominantemente de interesse local (CF, art. 30, I).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8. Por outro lado, a norma em exame não incidiu em qualquer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desrespeito à Separação de Poderes, </w:t>
      </w:r>
      <w:r w:rsidRPr="00386B56">
        <w:rPr>
          <w:rFonts w:asciiTheme="minorHAnsi" w:hAnsiTheme="minorHAnsi"/>
          <w:b/>
          <w:i/>
          <w:sz w:val="22"/>
          <w:szCs w:val="22"/>
        </w:rPr>
        <w:t>pois a matéria referente à “denominação de próprios, vias e logradouros públicos e suas alterações” não pode ser limitada tão somente à questão de “atos de gestão do Executivo”, pois, no exercício dessa competência, o Poder Legislativo local poderá realizar homenagens cívicas, bem como colaborar na concretização da memorização da história e da proteção do patrimônio cultural imaterial do Município.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9. Em nenhum momento, a Lei Orgânica Municipal afastou expressamente a iniciativa concorrente para propositura do projeto de lei sobre a matéria. Portanto, deve ser interpretada no sentido de não excluirá competência administrativa do Prefeito Municipal para a prática de atos de gestão referentes </w:t>
      </w:r>
      <w:r w:rsidRPr="004A372A">
        <w:rPr>
          <w:rFonts w:asciiTheme="minorHAnsi" w:hAnsiTheme="minorHAnsi"/>
          <w:i/>
          <w:sz w:val="22"/>
          <w:szCs w:val="22"/>
        </w:rPr>
        <w:t>a</w:t>
      </w:r>
      <w:r w:rsidRPr="004A372A">
        <w:rPr>
          <w:rFonts w:asciiTheme="minorHAnsi" w:hAnsiTheme="minorHAnsi"/>
          <w:i/>
          <w:sz w:val="22"/>
          <w:szCs w:val="22"/>
        </w:rPr>
        <w:t xml:space="preserve"> matéria; mas, também, por estabelecer ao </w:t>
      </w:r>
      <w:r w:rsidRPr="004A372A">
        <w:rPr>
          <w:rFonts w:asciiTheme="minorHAnsi" w:hAnsiTheme="minorHAnsi"/>
          <w:i/>
          <w:sz w:val="22"/>
          <w:szCs w:val="22"/>
        </w:rPr>
        <w:t xml:space="preserve">Poder Legislativo, no exercício de competência legislativa, baseada no princípio da predominância do interesse, a possibilidade de edição de leis para definir denominação de próprios, vias e logradouros públicos e suas alterações . </w:t>
      </w:r>
    </w:p>
    <w:p w:rsidR="00BC7B23" w:rsidRPr="004A372A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10. Recurso Extraordinário provido, para declarar a constitucionalidade do art. 33, XII, da Lei Orgânica do Município de Sorocaba, concedendo-lhe interpretação conforme </w:t>
      </w:r>
      <w:r w:rsidRPr="004A372A">
        <w:rPr>
          <w:rFonts w:asciiTheme="minorHAnsi" w:hAnsiTheme="minorHAnsi"/>
          <w:b/>
          <w:i/>
          <w:sz w:val="22"/>
          <w:szCs w:val="22"/>
        </w:rPr>
        <w:t>à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Constituição Federal, no sentido da existência de uma coabitação normativa entre os Poderes Executivo (decreto) e o Legislativo (lei formal), para o exercício da competência destinada a “denominação de próprios, vias e logradouros públicos e suas alterações”, cada qual no âmbito de suas atribuições.</w:t>
      </w:r>
    </w:p>
    <w:p w:rsidR="00BC7B23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 xml:space="preserve">11. Fixada a seguinte tese de Repercussão Geral: "É comum aos poderes Executivo (decreto) e Legislativo (lei formal) a competência destinada </w:t>
      </w:r>
      <w:r w:rsidRPr="004A372A">
        <w:rPr>
          <w:rFonts w:asciiTheme="minorHAnsi" w:hAnsiTheme="minorHAnsi"/>
          <w:b/>
          <w:i/>
          <w:sz w:val="22"/>
          <w:szCs w:val="22"/>
        </w:rPr>
        <w:t>a</w:t>
      </w:r>
      <w:r w:rsidRPr="004A372A">
        <w:rPr>
          <w:rFonts w:asciiTheme="minorHAnsi" w:hAnsiTheme="minorHAnsi"/>
          <w:b/>
          <w:i/>
          <w:sz w:val="22"/>
          <w:szCs w:val="22"/>
        </w:rPr>
        <w:t xml:space="preserve"> denominação de próprios, vias e logradouros públicos e suas alterações, cada qual no âmbito de suas atribuições". </w:t>
      </w:r>
    </w:p>
    <w:p w:rsidR="00BC7B23" w:rsidRPr="007A6DB6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12"/>
          <w:szCs w:val="12"/>
        </w:rPr>
      </w:pPr>
    </w:p>
    <w:p w:rsidR="00BC7B23" w:rsidRPr="006714AD" w:rsidP="007A6DB6">
      <w:pPr>
        <w:spacing w:line="300" w:lineRule="auto"/>
        <w:ind w:left="2835" w:firstLine="708"/>
        <w:jc w:val="both"/>
        <w:rPr>
          <w:rFonts w:asciiTheme="minorHAnsi" w:hAnsiTheme="minorHAnsi"/>
          <w:b/>
          <w:i/>
          <w:sz w:val="4"/>
          <w:szCs w:val="4"/>
        </w:rPr>
      </w:pPr>
    </w:p>
    <w:p w:rsidR="00BC7B23" w:rsidRPr="004A372A" w:rsidP="007A6DB6">
      <w:pPr>
        <w:spacing w:line="300" w:lineRule="auto"/>
        <w:ind w:left="2835"/>
        <w:jc w:val="both"/>
        <w:rPr>
          <w:rFonts w:asciiTheme="minorHAnsi" w:hAnsiTheme="minorHAnsi"/>
          <w:b/>
          <w:i/>
          <w:sz w:val="22"/>
          <w:szCs w:val="22"/>
        </w:rPr>
      </w:pPr>
      <w:r w:rsidRPr="004A372A">
        <w:rPr>
          <w:rFonts w:asciiTheme="minorHAnsi" w:hAnsiTheme="minorHAnsi"/>
          <w:b/>
          <w:i/>
          <w:sz w:val="22"/>
          <w:szCs w:val="22"/>
        </w:rPr>
        <w:t>A C Ó R D ÃO</w:t>
      </w:r>
    </w:p>
    <w:p w:rsidR="00BC7B23" w:rsidRPr="006714AD" w:rsidP="007A6DB6">
      <w:pPr>
        <w:spacing w:line="300" w:lineRule="auto"/>
        <w:ind w:left="2835"/>
        <w:jc w:val="both"/>
        <w:rPr>
          <w:rFonts w:asciiTheme="minorHAnsi" w:hAnsiTheme="minorHAnsi"/>
          <w:i/>
          <w:sz w:val="4"/>
          <w:szCs w:val="4"/>
        </w:rPr>
      </w:pPr>
    </w:p>
    <w:p w:rsidR="00BC7B23" w:rsidRPr="004A372A" w:rsidP="007A6DB6">
      <w:pPr>
        <w:spacing w:after="120" w:line="300" w:lineRule="auto"/>
        <w:ind w:left="2835" w:firstLine="709"/>
        <w:jc w:val="both"/>
        <w:rPr>
          <w:rFonts w:asciiTheme="minorHAnsi" w:hAnsiTheme="minorHAnsi"/>
          <w:i/>
          <w:sz w:val="22"/>
          <w:szCs w:val="22"/>
        </w:rPr>
      </w:pPr>
      <w:r w:rsidRPr="00821921">
        <w:rPr>
          <w:rFonts w:asciiTheme="minorHAnsi" w:hAnsiTheme="minorHAnsi"/>
          <w:i/>
          <w:sz w:val="22"/>
          <w:szCs w:val="22"/>
        </w:rPr>
        <w:t>Vistos, relatados e discutidos estes autos, os Ministros do Supremo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Tribunal Federal, em Plenário, sob a Presidência do Senhor Ministro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DIAS TOFFOLI, em conformidade com a ata de julgamento e as notas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taquigráficas, preliminarmente, por unanimidade, reconheceu 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existência de matéria constitucional e de repercussão geral. Por maioria,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vencidos os Ministros ROBERTO BARROSO e MARCO AURÉLIO, deram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>provimento ao recurso extraordinário para declarar a constitucionalidade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do art. 33, XII, da Lei Orgânica do Município de Sorocaba, concedendo-lhe interpretação conforme </w:t>
      </w:r>
      <w:r w:rsidRPr="00821921">
        <w:rPr>
          <w:rFonts w:asciiTheme="minorHAnsi" w:hAnsiTheme="minorHAnsi"/>
          <w:i/>
          <w:sz w:val="22"/>
          <w:szCs w:val="22"/>
        </w:rPr>
        <w:t>à</w:t>
      </w:r>
      <w:r w:rsidRPr="00821921">
        <w:rPr>
          <w:rFonts w:asciiTheme="minorHAnsi" w:hAnsiTheme="minorHAnsi"/>
          <w:i/>
          <w:sz w:val="22"/>
          <w:szCs w:val="22"/>
        </w:rPr>
        <w:t xml:space="preserve"> Constituição Federal, no sentido da</w:t>
      </w:r>
      <w:r w:rsidRPr="004A372A">
        <w:rPr>
          <w:rFonts w:asciiTheme="minorHAnsi" w:hAnsiTheme="minorHAnsi"/>
          <w:i/>
          <w:sz w:val="22"/>
          <w:szCs w:val="22"/>
        </w:rPr>
        <w:t xml:space="preserve"> </w:t>
      </w:r>
      <w:r w:rsidRPr="00821921">
        <w:rPr>
          <w:rFonts w:asciiTheme="minorHAnsi" w:hAnsiTheme="minorHAnsi"/>
          <w:i/>
          <w:sz w:val="22"/>
          <w:szCs w:val="22"/>
        </w:rPr>
        <w:t xml:space="preserve">existência de uma coabitação normativa entre os Poderes do </w:t>
      </w:r>
      <w:r w:rsidRPr="004A372A">
        <w:rPr>
          <w:rFonts w:asciiTheme="minorHAnsi" w:hAnsiTheme="minorHAnsi"/>
          <w:i/>
          <w:sz w:val="22"/>
          <w:szCs w:val="22"/>
        </w:rPr>
        <w:t xml:space="preserve">Executivo (decreto) e o Legislativo (lei formal), para o exercício da competência destinada a denominação de próprios, vias e logradouros públicos e suas alterações, cada qual no âmbito de suas atribuições, nos termos do voto do Relator, em que foi fixada a seguinte tese: "É comum aos poderes Executivo </w:t>
      </w:r>
      <w:r w:rsidRPr="004A372A">
        <w:rPr>
          <w:rFonts w:asciiTheme="minorHAnsi" w:hAnsiTheme="minorHAnsi"/>
          <w:i/>
          <w:sz w:val="22"/>
          <w:szCs w:val="22"/>
        </w:rPr>
        <w:t xml:space="preserve">(decreto) e Legislativo (lei formal) a competência destinada a denominação de próprios, vias e logradouros públicos e suas alterações, cada qual no âmbito de suas atribuições". Não participou, justificadamente, deste julgamento, a Ministra CÁRMEN LÚCIA. Ausentes, justificadamente, os Ministros CELSO DE MELLO e RICARDOLEWANDOWSKI. </w:t>
      </w:r>
    </w:p>
    <w:p w:rsidR="00BC7B23" w:rsidRPr="004A372A" w:rsidP="007A6DB6">
      <w:pPr>
        <w:spacing w:after="120" w:line="300" w:lineRule="auto"/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Brasília, </w:t>
      </w:r>
      <w:r w:rsidRPr="004A372A">
        <w:rPr>
          <w:rFonts w:asciiTheme="minorHAnsi" w:hAnsiTheme="minorHAnsi"/>
          <w:i/>
          <w:sz w:val="22"/>
          <w:szCs w:val="22"/>
        </w:rPr>
        <w:t>3</w:t>
      </w:r>
      <w:r w:rsidRPr="004A372A">
        <w:rPr>
          <w:rFonts w:asciiTheme="minorHAnsi" w:hAnsiTheme="minorHAnsi"/>
          <w:i/>
          <w:sz w:val="22"/>
          <w:szCs w:val="22"/>
        </w:rPr>
        <w:t xml:space="preserve"> de outubro de 2019.</w:t>
      </w:r>
    </w:p>
    <w:p w:rsidR="00BC7B23" w:rsidRPr="004A372A" w:rsidP="007A6DB6">
      <w:pPr>
        <w:ind w:left="2835"/>
        <w:jc w:val="both"/>
        <w:rPr>
          <w:rFonts w:asciiTheme="minorHAnsi" w:hAnsiTheme="minorHAnsi"/>
          <w:i/>
          <w:sz w:val="22"/>
          <w:szCs w:val="22"/>
        </w:rPr>
      </w:pPr>
      <w:r w:rsidRPr="004A372A">
        <w:rPr>
          <w:rFonts w:asciiTheme="minorHAnsi" w:hAnsiTheme="minorHAnsi"/>
          <w:i/>
          <w:sz w:val="22"/>
          <w:szCs w:val="22"/>
        </w:rPr>
        <w:t xml:space="preserve">Ministro ALEXANDREDE </w:t>
      </w:r>
      <w:r w:rsidRPr="004A372A">
        <w:rPr>
          <w:rFonts w:asciiTheme="minorHAnsi" w:hAnsiTheme="minorHAnsi"/>
          <w:i/>
          <w:sz w:val="22"/>
          <w:szCs w:val="22"/>
        </w:rPr>
        <w:t>MORAES</w:t>
      </w:r>
      <w:r w:rsidR="002712E9">
        <w:rPr>
          <w:rFonts w:asciiTheme="minorHAnsi" w:hAnsiTheme="minorHAnsi"/>
          <w:i/>
          <w:sz w:val="22"/>
          <w:szCs w:val="22"/>
        </w:rPr>
        <w:t xml:space="preserve"> -</w:t>
      </w:r>
      <w:r w:rsidRPr="004A372A">
        <w:rPr>
          <w:rFonts w:asciiTheme="minorHAnsi" w:hAnsiTheme="minorHAnsi"/>
          <w:i/>
          <w:sz w:val="22"/>
          <w:szCs w:val="22"/>
        </w:rPr>
        <w:t>Relator</w:t>
      </w:r>
    </w:p>
    <w:p w:rsidR="00BC7B23" w:rsidRPr="00D33B2B" w:rsidP="00BC7B23">
      <w:pPr>
        <w:pStyle w:val="NormalWeb"/>
        <w:spacing w:line="360" w:lineRule="auto"/>
        <w:ind w:firstLine="2268"/>
        <w:jc w:val="both"/>
        <w:rPr>
          <w:rFonts w:asciiTheme="minorHAnsi" w:hAnsiTheme="minorHAnsi" w:cstheme="minorHAnsi"/>
          <w:color w:val="000000" w:themeColor="text1"/>
        </w:rPr>
      </w:pPr>
      <w:r w:rsidRPr="00D33B2B">
        <w:rPr>
          <w:rFonts w:asciiTheme="minorHAnsi" w:hAnsiTheme="minorHAnsi" w:cstheme="minorHAnsi"/>
          <w:color w:val="000000" w:themeColor="text1"/>
        </w:rPr>
        <w:t>Por fim, no que tange à forma o projeto atende aos preceitos da Lei Complementar nº 95/98 que dispõe sobre a elaboração, a redação, a alteração e a consolidação das leis, conforme determina o parágrafo único do art. 59 da Constituição Federal e estabelece normas para a consolidação dos atos normativos que menciona.</w:t>
      </w:r>
    </w:p>
    <w:p w:rsidR="00BC7B23" w:rsidRPr="000D4061" w:rsidP="000D4061">
      <w:pPr>
        <w:autoSpaceDE w:val="0"/>
        <w:autoSpaceDN w:val="0"/>
        <w:adjustRightInd w:val="0"/>
        <w:spacing w:line="360" w:lineRule="auto"/>
        <w:ind w:firstLine="226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 xml:space="preserve"> </w:t>
      </w:r>
      <w:r w:rsidRPr="0041009B">
        <w:rPr>
          <w:rFonts w:ascii="Calibri" w:eastAsia="Calibri" w:hAnsi="Calibri" w:cs="Calibri"/>
          <w:sz w:val="24"/>
          <w:szCs w:val="24"/>
        </w:rPr>
        <w:t xml:space="preserve">Ante o exposto, </w:t>
      </w:r>
      <w:r w:rsidR="00C465B2">
        <w:rPr>
          <w:rFonts w:asciiTheme="minorHAnsi" w:hAnsiTheme="minorHAnsi" w:cstheme="minorHAnsi"/>
          <w:sz w:val="24"/>
          <w:szCs w:val="24"/>
        </w:rPr>
        <w:t>opinamos pela</w:t>
      </w:r>
      <w:r w:rsidRPr="0041009B">
        <w:rPr>
          <w:rFonts w:asciiTheme="minorHAnsi" w:hAnsiTheme="minorHAnsi" w:cstheme="minorHAnsi"/>
          <w:sz w:val="24"/>
          <w:szCs w:val="24"/>
        </w:rPr>
        <w:t xml:space="preserve"> constitucionalidade</w:t>
      </w:r>
      <w:r w:rsidRPr="002712E9"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e</w:t>
      </w:r>
      <w:r w:rsidR="002712E9">
        <w:rPr>
          <w:rFonts w:asciiTheme="minorHAnsi" w:hAnsiTheme="minorHAnsi" w:cstheme="minorHAnsi"/>
          <w:sz w:val="24"/>
          <w:szCs w:val="24"/>
        </w:rPr>
        <w:t xml:space="preserve"> </w:t>
      </w:r>
      <w:r w:rsidR="000D4061">
        <w:rPr>
          <w:rFonts w:asciiTheme="minorHAnsi" w:hAnsiTheme="minorHAnsi" w:cstheme="minorHAnsi"/>
          <w:sz w:val="24"/>
          <w:szCs w:val="24"/>
        </w:rPr>
        <w:t>legalidade</w:t>
      </w:r>
      <w:r w:rsidR="00C465B2">
        <w:rPr>
          <w:rFonts w:asciiTheme="minorHAnsi" w:hAnsiTheme="minorHAnsi" w:cstheme="minorHAnsi"/>
          <w:sz w:val="24"/>
          <w:szCs w:val="24"/>
        </w:rPr>
        <w:t xml:space="preserve"> do projeto</w:t>
      </w:r>
      <w:r w:rsidR="00BB1719">
        <w:rPr>
          <w:rFonts w:ascii="Calibri" w:eastAsia="Calibri" w:hAnsi="Calibri" w:cs="Calibri"/>
          <w:sz w:val="24"/>
          <w:szCs w:val="24"/>
        </w:rPr>
        <w:t xml:space="preserve">. </w:t>
      </w:r>
      <w:r w:rsidRPr="00BB1719" w:rsidR="00BB1719">
        <w:rPr>
          <w:rFonts w:ascii="Calibri" w:eastAsia="Calibri" w:hAnsi="Calibri" w:cs="Calibri"/>
          <w:b/>
          <w:sz w:val="24"/>
          <w:szCs w:val="24"/>
        </w:rPr>
        <w:t>N</w:t>
      </w:r>
      <w:r w:rsidRPr="00BB1719">
        <w:rPr>
          <w:rFonts w:ascii="Calibri" w:eastAsia="Calibri" w:hAnsi="Calibri" w:cs="Calibri"/>
          <w:b/>
          <w:sz w:val="24"/>
          <w:szCs w:val="24"/>
        </w:rPr>
        <w:t>o</w:t>
      </w:r>
      <w:r w:rsidR="00BB1719">
        <w:rPr>
          <w:rFonts w:ascii="Calibri" w:eastAsia="Calibri" w:hAnsi="Calibri" w:cs="Calibri"/>
          <w:b/>
          <w:sz w:val="24"/>
          <w:szCs w:val="24"/>
        </w:rPr>
        <w:t xml:space="preserve"> mérito</w:t>
      </w:r>
      <w:r w:rsidRPr="0041009B">
        <w:rPr>
          <w:rFonts w:ascii="Calibri" w:eastAsia="Calibri" w:hAnsi="Calibri" w:cs="Calibri"/>
          <w:b/>
          <w:sz w:val="24"/>
          <w:szCs w:val="24"/>
        </w:rPr>
        <w:t xml:space="preserve"> manifestar-se-á o soberano Plenário.</w:t>
      </w:r>
    </w:p>
    <w:p w:rsidR="00BC7B23" w:rsidRPr="00421447" w:rsidP="00BC7B23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421447">
        <w:rPr>
          <w:rFonts w:asciiTheme="minorHAnsi" w:hAnsiTheme="minorHAnsi" w:cstheme="minorHAnsi"/>
          <w:color w:val="auto"/>
        </w:rPr>
        <w:t xml:space="preserve"> </w:t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  <w:color w:val="auto"/>
        </w:rPr>
        <w:tab/>
      </w:r>
      <w:r w:rsidRPr="00421447">
        <w:rPr>
          <w:rFonts w:asciiTheme="minorHAnsi" w:hAnsiTheme="minorHAnsi" w:cstheme="minorHAnsi"/>
        </w:rPr>
        <w:t>É o parecer.</w:t>
      </w:r>
    </w:p>
    <w:p w:rsidR="00BC7B23" w:rsidRPr="00421447" w:rsidP="00BC7B23">
      <w:pPr>
        <w:pStyle w:val="BodyText"/>
        <w:spacing w:before="240" w:line="360" w:lineRule="auto"/>
        <w:rPr>
          <w:rFonts w:asciiTheme="minorHAnsi" w:hAnsiTheme="minorHAnsi" w:cstheme="minorHAnsi"/>
          <w:szCs w:val="24"/>
        </w:rPr>
      </w:pPr>
      <w:r w:rsidRPr="00421447">
        <w:rPr>
          <w:rFonts w:asciiTheme="minorHAnsi" w:hAnsiTheme="minorHAnsi" w:cstheme="minorHAnsi"/>
          <w:szCs w:val="24"/>
        </w:rPr>
        <w:t xml:space="preserve"> </w:t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 w:rsidRPr="00421447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Procuradoria</w:t>
      </w:r>
      <w:r w:rsidRPr="00421447">
        <w:rPr>
          <w:rFonts w:asciiTheme="minorHAnsi" w:hAnsiTheme="minorHAnsi" w:cstheme="minorHAnsi"/>
          <w:szCs w:val="24"/>
        </w:rPr>
        <w:t xml:space="preserve">, aos </w:t>
      </w:r>
      <w:r w:rsidR="0068682D">
        <w:rPr>
          <w:rFonts w:asciiTheme="minorHAnsi" w:hAnsiTheme="minorHAnsi" w:cstheme="minorHAnsi"/>
          <w:szCs w:val="24"/>
        </w:rPr>
        <w:t>1</w:t>
      </w:r>
      <w:r w:rsidR="00B24D6B">
        <w:rPr>
          <w:rFonts w:asciiTheme="minorHAnsi" w:hAnsiTheme="minorHAnsi" w:cstheme="minorHAnsi"/>
          <w:szCs w:val="24"/>
        </w:rPr>
        <w:t>9</w:t>
      </w:r>
      <w:r w:rsidRPr="00290365" w:rsidR="00F90F1A">
        <w:rPr>
          <w:rFonts w:asciiTheme="minorHAnsi" w:hAnsiTheme="minorHAnsi" w:cstheme="minorHAnsi"/>
          <w:szCs w:val="24"/>
        </w:rPr>
        <w:t xml:space="preserve"> </w:t>
      </w:r>
      <w:r w:rsidRPr="00290365" w:rsidR="005B3FBC">
        <w:rPr>
          <w:rFonts w:asciiTheme="minorHAnsi" w:hAnsiTheme="minorHAnsi" w:cstheme="minorHAnsi"/>
          <w:szCs w:val="24"/>
        </w:rPr>
        <w:t xml:space="preserve">de </w:t>
      </w:r>
      <w:r w:rsidR="0068682D">
        <w:rPr>
          <w:rFonts w:asciiTheme="minorHAnsi" w:hAnsiTheme="minorHAnsi" w:cstheme="minorHAnsi"/>
          <w:szCs w:val="24"/>
        </w:rPr>
        <w:t>ma</w:t>
      </w:r>
      <w:r w:rsidR="00B24D6B">
        <w:rPr>
          <w:rFonts w:asciiTheme="minorHAnsi" w:hAnsiTheme="minorHAnsi" w:cstheme="minorHAnsi"/>
          <w:szCs w:val="24"/>
        </w:rPr>
        <w:t>io</w:t>
      </w:r>
      <w:r w:rsidR="00BB1719">
        <w:rPr>
          <w:rFonts w:asciiTheme="minorHAnsi" w:hAnsiTheme="minorHAnsi" w:cstheme="minorHAnsi"/>
          <w:szCs w:val="24"/>
        </w:rPr>
        <w:t xml:space="preserve"> </w:t>
      </w:r>
      <w:r w:rsidRPr="00290365">
        <w:rPr>
          <w:rFonts w:asciiTheme="minorHAnsi" w:hAnsiTheme="minorHAnsi" w:cstheme="minorHAnsi"/>
          <w:szCs w:val="24"/>
        </w:rPr>
        <w:t>de 202</w:t>
      </w:r>
      <w:r w:rsidR="00BB1719">
        <w:rPr>
          <w:rFonts w:asciiTheme="minorHAnsi" w:hAnsiTheme="minorHAnsi" w:cstheme="minorHAnsi"/>
          <w:szCs w:val="24"/>
        </w:rPr>
        <w:t>2</w:t>
      </w:r>
      <w:r w:rsidRPr="00290365">
        <w:rPr>
          <w:rFonts w:asciiTheme="minorHAnsi" w:hAnsiTheme="minorHAnsi" w:cstheme="minorHAnsi"/>
          <w:szCs w:val="24"/>
        </w:rPr>
        <w:t>.</w:t>
      </w: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5130"/>
        </w:tabs>
        <w:rPr>
          <w:rFonts w:asciiTheme="minorHAnsi" w:hAnsiTheme="minorHAnsi" w:cstheme="minorHAnsi"/>
          <w:sz w:val="24"/>
          <w:szCs w:val="24"/>
        </w:rPr>
      </w:pPr>
    </w:p>
    <w:p w:rsidR="00BC7B23" w:rsidRPr="0041009B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Rosemeire de Souza Cardoso Barbosa</w:t>
      </w:r>
    </w:p>
    <w:p w:rsidR="00BC7B23" w:rsidP="00BC7B23">
      <w:pPr>
        <w:tabs>
          <w:tab w:val="left" w:pos="2880"/>
        </w:tabs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1009B">
        <w:rPr>
          <w:rFonts w:asciiTheme="minorHAnsi" w:hAnsiTheme="minorHAnsi" w:cstheme="minorHAnsi"/>
          <w:b/>
          <w:sz w:val="24"/>
          <w:szCs w:val="24"/>
        </w:rPr>
        <w:t>Procuradora – OAB/SP 308.298</w:t>
      </w:r>
    </w:p>
    <w:p w:rsidR="002B756F" w:rsidRPr="002B756F" w:rsidP="00BC7B23">
      <w:pPr>
        <w:tabs>
          <w:tab w:val="left" w:pos="2880"/>
        </w:tabs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Assinado digitalmente</w:t>
      </w:r>
    </w:p>
    <w:p w:rsidR="00BC7B23" w:rsidRPr="0041009B" w:rsidP="00BC7B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C225B"/>
    <w:p w:rsidR="006E0843"/>
    <w:p w:rsidR="006E0843"/>
    <w:sectPr w:rsidSect="00496AE3">
      <w:headerReference w:type="default" r:id="rId4"/>
      <w:footerReference w:type="default" r:id="rId5"/>
      <w:pgSz w:w="11906" w:h="16838"/>
      <w:pgMar w:top="266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387274" w:rsidP="006D1008">
            <w:pPr>
              <w:pStyle w:val="Footer"/>
              <w:jc w:val="right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387274" w:rsidP="006D100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387274" w:rsidP="006D1008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387274" w:rsidP="00496AE3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772A2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1772A2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387274" w:rsidRPr="00CC028B" w:rsidP="00496AE3">
    <w:pPr>
      <w:pStyle w:val="Footer"/>
      <w:jc w:val="right"/>
      <w:rPr>
        <w:rFonts w:asciiTheme="minorHAnsi" w:hAnsiTheme="minorHAnsi" w:cstheme="minorHAnsi"/>
        <w:sz w:val="18"/>
        <w:szCs w:val="18"/>
      </w:rPr>
    </w:pPr>
    <w:r w:rsidRPr="00CC028B">
      <w:rPr>
        <w:rFonts w:asciiTheme="minorHAnsi" w:hAnsiTheme="minorHAnsi" w:cstheme="minorHAnsi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7274" w:rsidP="00496AE3">
    <w:pPr>
      <w:pStyle w:val="Header"/>
      <w:jc w:val="center"/>
      <w:rPr>
        <w:b/>
        <w:sz w:val="26"/>
        <w:lang w:val="pt-PT"/>
      </w:rPr>
    </w:pPr>
  </w:p>
  <w:p w:rsidR="00387274" w:rsidP="00496AE3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7274" w:rsidP="00496AE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773561612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7930980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456242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496AE3" w:rsidP="00496AE3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1718651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08411673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387274" w:rsidP="00496AE3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387274" w:rsidP="00496AE3">
    <w:pPr>
      <w:pStyle w:val="Header"/>
      <w:jc w:val="center"/>
    </w:pPr>
    <w:r>
      <w:rPr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3"/>
    <w:rsid w:val="000D4061"/>
    <w:rsid w:val="000E5C8F"/>
    <w:rsid w:val="00102C41"/>
    <w:rsid w:val="001772A2"/>
    <w:rsid w:val="001A6A6D"/>
    <w:rsid w:val="002712E9"/>
    <w:rsid w:val="00290365"/>
    <w:rsid w:val="002B756F"/>
    <w:rsid w:val="00385030"/>
    <w:rsid w:val="00386B56"/>
    <w:rsid w:val="00387274"/>
    <w:rsid w:val="0039714D"/>
    <w:rsid w:val="003A419C"/>
    <w:rsid w:val="0041009B"/>
    <w:rsid w:val="00417214"/>
    <w:rsid w:val="00421447"/>
    <w:rsid w:val="00434A5E"/>
    <w:rsid w:val="00496AE3"/>
    <w:rsid w:val="004A372A"/>
    <w:rsid w:val="0053705A"/>
    <w:rsid w:val="005A28EA"/>
    <w:rsid w:val="005B3FBC"/>
    <w:rsid w:val="005B411E"/>
    <w:rsid w:val="005C225B"/>
    <w:rsid w:val="005F5B0F"/>
    <w:rsid w:val="006714AD"/>
    <w:rsid w:val="006852EF"/>
    <w:rsid w:val="0068682D"/>
    <w:rsid w:val="006D1008"/>
    <w:rsid w:val="006E0843"/>
    <w:rsid w:val="006E0D35"/>
    <w:rsid w:val="007163D7"/>
    <w:rsid w:val="00720462"/>
    <w:rsid w:val="00775511"/>
    <w:rsid w:val="00787712"/>
    <w:rsid w:val="00792DC2"/>
    <w:rsid w:val="007A6DB6"/>
    <w:rsid w:val="007C3334"/>
    <w:rsid w:val="00821921"/>
    <w:rsid w:val="00891543"/>
    <w:rsid w:val="008E6DA9"/>
    <w:rsid w:val="00910C59"/>
    <w:rsid w:val="00913125"/>
    <w:rsid w:val="00986304"/>
    <w:rsid w:val="00A42EB0"/>
    <w:rsid w:val="00A66B2B"/>
    <w:rsid w:val="00AA60D6"/>
    <w:rsid w:val="00AD5C09"/>
    <w:rsid w:val="00AF63BE"/>
    <w:rsid w:val="00B0252A"/>
    <w:rsid w:val="00B16224"/>
    <w:rsid w:val="00B24D6B"/>
    <w:rsid w:val="00BB12A6"/>
    <w:rsid w:val="00BB1719"/>
    <w:rsid w:val="00BC7B23"/>
    <w:rsid w:val="00BE58C3"/>
    <w:rsid w:val="00C0082F"/>
    <w:rsid w:val="00C17B4E"/>
    <w:rsid w:val="00C465B2"/>
    <w:rsid w:val="00CC028B"/>
    <w:rsid w:val="00D33B2B"/>
    <w:rsid w:val="00DE623B"/>
    <w:rsid w:val="00E66BD6"/>
    <w:rsid w:val="00EA3220"/>
    <w:rsid w:val="00EA41C7"/>
    <w:rsid w:val="00F53BEF"/>
    <w:rsid w:val="00F6243C"/>
    <w:rsid w:val="00F90F1A"/>
    <w:rsid w:val="00FA055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7B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BC7B23"/>
    <w:pPr>
      <w:spacing w:after="120"/>
    </w:pPr>
    <w:rPr>
      <w:rFonts w:ascii="Arial" w:hAnsi="Arial"/>
      <w:sz w:val="24"/>
    </w:rPr>
  </w:style>
  <w:style w:type="character" w:customStyle="1" w:styleId="CorpodetextoChar">
    <w:name w:val="Corpo de texto Char"/>
    <w:basedOn w:val="DefaultParagraphFont"/>
    <w:link w:val="BodyText"/>
    <w:uiPriority w:val="99"/>
    <w:rsid w:val="00BC7B23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C7B23"/>
    <w:pPr>
      <w:spacing w:before="100" w:beforeAutospacing="1" w:after="100" w:afterAutospacing="1"/>
    </w:pPr>
    <w:rPr>
      <w:sz w:val="24"/>
      <w:szCs w:val="24"/>
    </w:rPr>
  </w:style>
  <w:style w:type="paragraph" w:styleId="Footer">
    <w:name w:val="footer"/>
    <w:basedOn w:val="Normal"/>
    <w:link w:val="RodapChar"/>
    <w:unhideWhenUsed/>
    <w:rsid w:val="00BC7B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rsid w:val="00BC7B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8503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8503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highlight">
    <w:name w:val="highlight"/>
    <w:basedOn w:val="DefaultParagraphFont"/>
    <w:rsid w:val="007A6DB6"/>
  </w:style>
  <w:style w:type="paragraph" w:styleId="Header">
    <w:name w:val="header"/>
    <w:basedOn w:val="Normal"/>
    <w:link w:val="CabealhoChar"/>
    <w:unhideWhenUsed/>
    <w:rsid w:val="00496A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rsid w:val="00496AE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2024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cp:lastPrinted>2022-02-08T14:06:00Z</cp:lastPrinted>
  <dcterms:created xsi:type="dcterms:W3CDTF">2022-05-19T19:46:00Z</dcterms:created>
  <dcterms:modified xsi:type="dcterms:W3CDTF">2022-05-20T17:34:00Z</dcterms:modified>
</cp:coreProperties>
</file>