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D24FF6" w:rsidP="00D24FF6">
      <w:pPr>
        <w:spacing w:after="200" w:line="276" w:lineRule="auto"/>
      </w:pPr>
      <w:r>
        <w:t>C.I. CMV/DF/Nº 0</w:t>
      </w:r>
      <w:r>
        <w:t>28</w:t>
      </w:r>
      <w:r>
        <w:t>/2022</w:t>
      </w:r>
    </w:p>
    <w:p w:rsidR="00D24FF6" w:rsidP="00D24FF6">
      <w:pPr>
        <w:spacing w:after="200" w:line="276" w:lineRule="auto"/>
      </w:pPr>
    </w:p>
    <w:p w:rsidR="00D24FF6" w:rsidRPr="00D24FF6" w:rsidP="00D24FF6">
      <w:pPr>
        <w:spacing w:after="200" w:line="276" w:lineRule="auto"/>
        <w:rPr>
          <w:b/>
        </w:rPr>
      </w:pPr>
      <w:r w:rsidRPr="00D24FF6">
        <w:rPr>
          <w:b/>
        </w:rPr>
        <w:t>Ao</w:t>
      </w:r>
    </w:p>
    <w:p w:rsidR="00D24FF6" w:rsidRPr="00D24FF6" w:rsidP="00D24FF6">
      <w:pPr>
        <w:spacing w:after="200" w:line="276" w:lineRule="auto"/>
        <w:rPr>
          <w:b/>
        </w:rPr>
      </w:pPr>
      <w:r w:rsidRPr="00D24FF6">
        <w:rPr>
          <w:b/>
        </w:rPr>
        <w:t>Gabinete da Presidência</w:t>
      </w:r>
    </w:p>
    <w:p w:rsidR="00D24FF6" w:rsidP="00D24FF6">
      <w:pPr>
        <w:spacing w:after="200" w:line="276" w:lineRule="auto"/>
      </w:pPr>
    </w:p>
    <w:p w:rsidR="00D24FF6" w:rsidP="00D24FF6">
      <w:pPr>
        <w:spacing w:after="200" w:line="276" w:lineRule="auto"/>
      </w:pPr>
    </w:p>
    <w:p w:rsidR="00D24FF6" w:rsidRPr="00D24FF6" w:rsidP="00D24FF6">
      <w:pPr>
        <w:spacing w:after="200" w:line="276" w:lineRule="auto"/>
        <w:jc w:val="both"/>
        <w:rPr>
          <w:b/>
        </w:rPr>
      </w:pPr>
      <w:r w:rsidRPr="00D24FF6">
        <w:rPr>
          <w:b/>
        </w:rPr>
        <w:t xml:space="preserve">Ref.: Cálculo do Impacto Financeiro – </w:t>
      </w:r>
      <w:r w:rsidRPr="00D24FF6">
        <w:rPr>
          <w:b/>
        </w:rPr>
        <w:t>Aplicação da Revisão Geral Anual sobre os Subsídios de Vereadores</w:t>
      </w:r>
    </w:p>
    <w:p w:rsidR="00D24FF6" w:rsidP="00D24FF6">
      <w:pPr>
        <w:spacing w:after="200" w:line="276" w:lineRule="auto"/>
        <w:jc w:val="both"/>
      </w:pPr>
      <w:r>
        <w:t>Projeto de Resolução Nº ____/2022</w:t>
      </w:r>
    </w:p>
    <w:p w:rsidR="00D24FF6" w:rsidP="00D24FF6">
      <w:pPr>
        <w:spacing w:after="200" w:line="276" w:lineRule="auto"/>
        <w:jc w:val="both"/>
      </w:pPr>
      <w:r>
        <w:t xml:space="preserve">Segue cálculo do impacto orçamentário-financeiro da proposta para </w:t>
      </w:r>
      <w:r>
        <w:t xml:space="preserve">concessão de Revisão Geral Anual sobre os Subsídios dos Vereadores desta Casa de Leis, em conformidade com os dados apresentados na CI nº 08/2022 CMV/DLE-D a qual informa o percentual </w:t>
      </w:r>
      <w:r w:rsidR="003B5A44">
        <w:t xml:space="preserve">pretendido </w:t>
      </w:r>
      <w:r>
        <w:t xml:space="preserve">de 12,47% (doze inteiros e quarenta e sete centésimos por cento) aplicados a partir de 01 de Maio do corrente exercício. </w:t>
      </w:r>
      <w:r>
        <w:t>Os cálculos apresentam resultados de impacto</w:t>
      </w:r>
      <w:r w:rsidR="00DF3AB9">
        <w:t xml:space="preserve"> </w:t>
      </w:r>
      <w:r w:rsidR="003B5A44">
        <w:t>n</w:t>
      </w:r>
      <w:r w:rsidR="00DF3AB9">
        <w:t>esta data</w:t>
      </w:r>
      <w:r>
        <w:t>,</w:t>
      </w:r>
      <w:r w:rsidR="00DF3AB9">
        <w:t xml:space="preserve"> produzindo efeitos neste exercício</w:t>
      </w:r>
      <w:r>
        <w:t xml:space="preserve"> bem como para os dois exercícios que se seguem. Embora a Emenda Constitucional nº 109/2021 tenha trazido alterações importantes para o critério de apuração das Despesas com Pessoal, e no tocante a este Legislativo, estas deverão ser observadas à partir da próxima Legislatura, ou seja 2025, as quais elevam os gastos de pessoal incluindo os inativos e pensionistas, e que até então não eram considerados, prudentemente, observa-se neste estudo, o impacto desta alteração, como cálculo auxiliar, já sendo incorporada à nova forma de apuração das despesas.</w:t>
      </w:r>
    </w:p>
    <w:p w:rsidR="00D24FF6" w:rsidP="00D24FF6">
      <w:pPr>
        <w:spacing w:after="200" w:line="276" w:lineRule="auto"/>
        <w:jc w:val="both"/>
      </w:pPr>
      <w:r>
        <w:t>Observação: Os cálculos foram feitos com base em projeções e estimativas (premissas), planilhas base e memória de cálculo, bem como Estimativa do Impacto Orçamentário-Financeiro, que se encontram anexos a esta.</w:t>
      </w:r>
    </w:p>
    <w:p w:rsidR="00D24FF6" w:rsidP="00D24FF6">
      <w:pPr>
        <w:spacing w:after="200" w:line="276" w:lineRule="auto"/>
        <w:jc w:val="both"/>
      </w:pPr>
    </w:p>
    <w:p w:rsidR="00D24FF6" w:rsidP="00D24FF6">
      <w:pPr>
        <w:spacing w:after="200" w:line="276" w:lineRule="auto"/>
        <w:jc w:val="right"/>
      </w:pPr>
      <w:r>
        <w:t xml:space="preserve"> </w:t>
      </w:r>
      <w:r>
        <w:t>Valinhos,</w:t>
      </w:r>
      <w:r>
        <w:t>1</w:t>
      </w:r>
      <w:r w:rsidR="00EB37BA">
        <w:t>8</w:t>
      </w:r>
      <w:r>
        <w:t xml:space="preserve"> de </w:t>
      </w:r>
      <w:r>
        <w:t>Maio</w:t>
      </w:r>
      <w:r>
        <w:t xml:space="preserve"> de 2022.</w:t>
      </w:r>
    </w:p>
    <w:p w:rsidR="00D24FF6" w:rsidP="00D24FF6">
      <w:pPr>
        <w:spacing w:after="200" w:line="276" w:lineRule="auto"/>
        <w:jc w:val="right"/>
      </w:pPr>
    </w:p>
    <w:p w:rsidR="00D24FF6" w:rsidRPr="003B5A44" w:rsidP="00D24FF6">
      <w:pPr>
        <w:spacing w:after="200" w:line="276" w:lineRule="auto"/>
        <w:jc w:val="right"/>
        <w:rPr>
          <w:b/>
        </w:rPr>
      </w:pPr>
      <w:r w:rsidRPr="003B5A44">
        <w:rPr>
          <w:b/>
        </w:rPr>
        <w:t xml:space="preserve">Ivone Ap. </w:t>
      </w:r>
      <w:r w:rsidRPr="003B5A44">
        <w:rPr>
          <w:b/>
        </w:rPr>
        <w:t>Frizarin</w:t>
      </w:r>
      <w:r w:rsidRPr="003B5A44">
        <w:rPr>
          <w:b/>
        </w:rPr>
        <w:t xml:space="preserve"> </w:t>
      </w:r>
      <w:r w:rsidRPr="003B5A44">
        <w:rPr>
          <w:b/>
        </w:rPr>
        <w:t>Alves</w:t>
      </w:r>
      <w:r w:rsidRPr="003B5A44">
        <w:rPr>
          <w:b/>
        </w:rPr>
        <w:t xml:space="preserve">                                                            </w:t>
      </w:r>
    </w:p>
    <w:p w:rsidR="00D24FF6" w:rsidRPr="003B5A44" w:rsidP="00D24FF6">
      <w:pPr>
        <w:spacing w:after="200" w:line="276" w:lineRule="auto"/>
        <w:jc w:val="right"/>
        <w:rPr>
          <w:b/>
        </w:rPr>
      </w:pPr>
      <w:r w:rsidRPr="003B5A44">
        <w:rPr>
          <w:b/>
        </w:rPr>
        <w:t xml:space="preserve">   Diretoria de Finanças</w:t>
      </w:r>
    </w:p>
    <w:p w:rsidR="00D24FF6" w:rsidRPr="003B5A44" w:rsidP="003B5A44">
      <w:pPr>
        <w:spacing w:after="200" w:line="276" w:lineRule="auto"/>
        <w:jc w:val="center"/>
        <w:rPr>
          <w:b/>
        </w:rPr>
      </w:pPr>
      <w:r w:rsidRPr="003B5A44">
        <w:rPr>
          <w:b/>
        </w:rPr>
        <w:t>Premissas Financeiras Utilizadas</w:t>
      </w:r>
    </w:p>
    <w:p w:rsidR="00D24FF6" w:rsidP="00D24FF6">
      <w:pPr>
        <w:spacing w:after="200" w:line="276" w:lineRule="auto"/>
      </w:pPr>
    </w:p>
    <w:p w:rsidR="00D24FF6" w:rsidP="003B5A44">
      <w:pPr>
        <w:spacing w:after="200" w:line="276" w:lineRule="auto"/>
        <w:jc w:val="both"/>
      </w:pPr>
      <w:r>
        <w:t xml:space="preserve">Nos cálculos realizados foram consideradas as seguintes premissas: </w:t>
      </w:r>
    </w:p>
    <w:p w:rsidR="00D24FF6" w:rsidP="003B5A44">
      <w:pPr>
        <w:spacing w:after="200" w:line="276" w:lineRule="auto"/>
        <w:jc w:val="both"/>
      </w:pPr>
    </w:p>
    <w:p w:rsidR="00D24FF6" w:rsidP="003B5A44">
      <w:pPr>
        <w:spacing w:after="200" w:line="276" w:lineRule="auto"/>
        <w:jc w:val="both"/>
      </w:pPr>
      <w:r>
        <w:t xml:space="preserve">- Referências de remunerações dos cargos com subsídios, provimento em comissão e provimento efetivo com base na estrutura vigente, tomando-se a última folha de Pagamento como base, esta referente ao mês de </w:t>
      </w:r>
      <w:r w:rsidR="003B5A44">
        <w:t>Abril</w:t>
      </w:r>
      <w:r>
        <w:t>/2022</w:t>
      </w:r>
      <w:r w:rsidR="003B5A44">
        <w:t>;</w:t>
      </w:r>
    </w:p>
    <w:p w:rsidR="00D24FF6" w:rsidP="003B5A44">
      <w:pPr>
        <w:spacing w:after="200" w:line="276" w:lineRule="auto"/>
        <w:jc w:val="both"/>
      </w:pPr>
      <w:r>
        <w:t xml:space="preserve">- Revisão geral anual aplicada sobre as referências do item anterior, </w:t>
      </w:r>
      <w:r w:rsidR="00782D46">
        <w:t xml:space="preserve">incluindo os subsídios de Vereadores contemplados no projeto de resolução ao qual este estudo pertence, </w:t>
      </w:r>
      <w:r>
        <w:t xml:space="preserve">a partir de 01 de Maio de 2022 </w:t>
      </w:r>
      <w:r w:rsidR="003B5A44">
        <w:t>de</w:t>
      </w:r>
      <w:r>
        <w:t xml:space="preserve"> 1</w:t>
      </w:r>
      <w:r w:rsidR="003B5A44">
        <w:t>2,47</w:t>
      </w:r>
      <w:r>
        <w:t>% (</w:t>
      </w:r>
      <w:r w:rsidR="003B5A44">
        <w:t>doze inteiros e quarenta e sete centésimos por cento)</w:t>
      </w:r>
      <w:r>
        <w:t>, bem como para os exercícios de 2023 e 2024, cada qual em</w:t>
      </w:r>
      <w:r w:rsidR="00782D46">
        <w:t xml:space="preserve"> perspectivas de 12% (doze inteiros por cento) e </w:t>
      </w:r>
      <w:r>
        <w:t>10% (dez inteiros por cento)</w:t>
      </w:r>
      <w:r w:rsidR="00782D46">
        <w:t>, respectivamente</w:t>
      </w:r>
      <w:r>
        <w:t xml:space="preserve">; </w:t>
      </w:r>
    </w:p>
    <w:p w:rsidR="00D24FF6" w:rsidP="003B5A44">
      <w:pPr>
        <w:spacing w:after="200" w:line="276" w:lineRule="auto"/>
        <w:jc w:val="both"/>
      </w:pPr>
      <w:r>
        <w:t>- Anexo I: estrutura atual com seus cargos e referências;</w:t>
      </w:r>
    </w:p>
    <w:p w:rsidR="00D24FF6" w:rsidP="003B5A44">
      <w:pPr>
        <w:spacing w:after="200" w:line="276" w:lineRule="auto"/>
        <w:jc w:val="both"/>
      </w:pPr>
      <w:r>
        <w:t>- Anexo II: memória de cálculo e desembolso mensal para o exercício de 2022 e para os dois exercícios seguintes;</w:t>
      </w:r>
    </w:p>
    <w:p w:rsidR="00D24FF6" w:rsidP="003B5A44">
      <w:pPr>
        <w:spacing w:after="200" w:line="276" w:lineRule="auto"/>
        <w:jc w:val="both"/>
      </w:pPr>
      <w:r>
        <w:t xml:space="preserve"> - Receita de Duodécimos:</w:t>
      </w:r>
    </w:p>
    <w:p w:rsidR="00D24FF6" w:rsidP="003B5A44">
      <w:pPr>
        <w:spacing w:after="200" w:line="276" w:lineRule="auto"/>
        <w:jc w:val="both"/>
      </w:pPr>
      <w:r>
        <w:t>* 2022 conforme estabelecido em LOA para o exercício;</w:t>
      </w:r>
    </w:p>
    <w:p w:rsidR="00D24FF6" w:rsidP="003B5A44">
      <w:pPr>
        <w:spacing w:after="200" w:line="276" w:lineRule="auto"/>
        <w:jc w:val="both"/>
      </w:pPr>
      <w:r>
        <w:t>* 2023 e 2024 seguindo definição no PPA (2022/2025)</w:t>
      </w:r>
      <w:r w:rsidR="00782D46">
        <w:t>, com necessidade de alteração</w:t>
      </w:r>
      <w:r>
        <w:t>;</w:t>
      </w:r>
    </w:p>
    <w:p w:rsidR="00D24FF6" w:rsidP="003B5A44">
      <w:pPr>
        <w:spacing w:after="200" w:line="276" w:lineRule="auto"/>
        <w:jc w:val="both"/>
      </w:pPr>
      <w:r>
        <w:t xml:space="preserve">- Foram estimadas Licenças Prêmio dos servidores ao longo destes </w:t>
      </w:r>
      <w:r>
        <w:t>3</w:t>
      </w:r>
      <w:r>
        <w:t xml:space="preserve"> (três) exercícios;</w:t>
      </w:r>
    </w:p>
    <w:p w:rsidR="00D24FF6" w:rsidP="003B5A44">
      <w:pPr>
        <w:spacing w:after="200" w:line="276" w:lineRule="auto"/>
        <w:jc w:val="both"/>
      </w:pPr>
      <w:r>
        <w:t>- Não foram consideradas as Férias em Abono Pecuniário;</w:t>
      </w:r>
    </w:p>
    <w:p w:rsidR="00D24FF6" w:rsidP="003B5A44">
      <w:pPr>
        <w:spacing w:after="200" w:line="276" w:lineRule="auto"/>
        <w:jc w:val="both"/>
      </w:pPr>
      <w:r>
        <w:t>- Considerados 1% (um inteiro percentual) ao ano para cada servidor a título de Adicional de Tempo de Serviço lançados no mês de Janeiro de cada ano estimando-se a cobertura de cada ano em curso;</w:t>
      </w:r>
    </w:p>
    <w:p w:rsidR="00D24FF6" w:rsidP="003B5A44">
      <w:pPr>
        <w:spacing w:after="200" w:line="276" w:lineRule="auto"/>
        <w:jc w:val="both"/>
      </w:pPr>
      <w:r>
        <w:t>- Considerados 5% (cinco por cento) a título de Adicional de Estímulo, a cada nível de escolaridade acima do exigido na função, para os servidores efetivos, limitados a 20%</w:t>
      </w:r>
      <w:r>
        <w:t>(</w:t>
      </w:r>
      <w:r>
        <w:t>vinte por cento), conforme definido em Lei;</w:t>
      </w:r>
    </w:p>
    <w:p w:rsidR="00D24FF6" w:rsidP="003B5A44">
      <w:pPr>
        <w:spacing w:after="200" w:line="276" w:lineRule="auto"/>
        <w:jc w:val="both"/>
      </w:pPr>
      <w:r>
        <w:t>- Considerados 1/3 (um terço) de Abono de Férias e 13º Salário com base na remuneração do Mês de Dezembro de cada ano, para didática de cálculo.</w:t>
      </w:r>
    </w:p>
    <w:p w:rsidR="00782D46" w:rsidP="003B5A44">
      <w:pPr>
        <w:spacing w:after="200" w:line="276" w:lineRule="auto"/>
        <w:jc w:val="both"/>
      </w:pPr>
    </w:p>
    <w:p w:rsidR="00D24FF6" w:rsidP="003B5A44">
      <w:pPr>
        <w:spacing w:after="200" w:line="276" w:lineRule="auto"/>
        <w:jc w:val="both"/>
      </w:pPr>
      <w:r>
        <w:t>Estimativa do Impacto Orçamentário-Financeiro</w:t>
      </w:r>
    </w:p>
    <w:p w:rsidR="00D24FF6" w:rsidP="003B5A44">
      <w:pPr>
        <w:spacing w:after="200" w:line="276" w:lineRule="auto"/>
        <w:jc w:val="both"/>
      </w:pPr>
    </w:p>
    <w:p w:rsidR="00D24FF6" w:rsidP="003B5A44">
      <w:pPr>
        <w:spacing w:after="200" w:line="276" w:lineRule="auto"/>
        <w:jc w:val="both"/>
      </w:pPr>
      <w:r>
        <w:t>A responsabilidade pela gestão fiscal e o equilíbrio das contas públicas exigidos na Lei de Responsabilidade Fiscal – LRF pressupõe ações planejadas e transparentes de forma a efetuar rígido controle das despesas, observando-se sempre a disponibilidade orçamentária e de caixa para a execução das mesmas.</w:t>
      </w:r>
    </w:p>
    <w:p w:rsidR="00D24FF6" w:rsidP="003B5A44">
      <w:pPr>
        <w:spacing w:after="200" w:line="276" w:lineRule="auto"/>
        <w:jc w:val="both"/>
      </w:pPr>
      <w:r>
        <w:t xml:space="preserve">Este estudo trata da apuração, no exercício em que entrar em vigor e nos dois subsequentes, do valor a ser gasto decorrente da criação, expansão ou aperfeiçoamento de ação governamental que acarrete aumento da despesa, com vistas à manutenção do equilíbrio financeiro. Considera-se </w:t>
      </w:r>
      <w:r>
        <w:t>despesa obrigatória de caráter continuado</w:t>
      </w:r>
      <w:r>
        <w:t xml:space="preserve"> o referido Projeto de Lei, uma vez que aprovado determinará a realização de ação e obrigatoriedade de alocação de recursos no orçamento deste Legislativo com execução por um período superior a dois exercícios, neste caso, continuada.</w:t>
      </w:r>
    </w:p>
    <w:p w:rsidR="00D24FF6" w:rsidP="003B5A44">
      <w:pPr>
        <w:spacing w:after="200" w:line="276" w:lineRule="auto"/>
        <w:jc w:val="both"/>
      </w:pPr>
    </w:p>
    <w:p w:rsidR="00D24FF6" w:rsidP="003B5A44">
      <w:pPr>
        <w:spacing w:after="200" w:line="276" w:lineRule="auto"/>
        <w:jc w:val="both"/>
      </w:pPr>
      <w:r>
        <w:t>Plano Plurianual – PPA e Lei de Diretrizes Orçamentárias – LDO:</w:t>
      </w:r>
    </w:p>
    <w:p w:rsidR="00D24FF6" w:rsidP="003B5A44">
      <w:pPr>
        <w:spacing w:after="200" w:line="276" w:lineRule="auto"/>
        <w:jc w:val="both"/>
      </w:pPr>
    </w:p>
    <w:p w:rsidR="00D24FF6" w:rsidP="003B5A44">
      <w:pPr>
        <w:spacing w:after="200" w:line="276" w:lineRule="auto"/>
        <w:jc w:val="both"/>
      </w:pPr>
      <w:r>
        <w:t xml:space="preserve">As despesas aumentadas estão compatíveis com o PPA (Lei nº 6.204 de 22/12/2021) e em conformidade com as diretrizes, objetivos, prioridades e metas previstas na LDO (Lei nº 6.129 de 20/07/2021), pois </w:t>
      </w:r>
      <w:r>
        <w:t>trata-se</w:t>
      </w:r>
      <w:r>
        <w:t xml:space="preserve"> de suprimento de necessidades tendo em vista a manutenção da atividade legislativa, </w:t>
      </w:r>
      <w:r w:rsidR="00782D46">
        <w:t xml:space="preserve">para este exercício. Há necessidade de adequação para os exercícios seguintes. Desta forma estando o Executivo Municipal em tempos de elaboração da LDO, este Legislativo encaminhou nova proposta de LDO e LOA para o exercício seguinte o qual alterará a projeção do PPA para o exercício de 2023, e consequentemente </w:t>
      </w:r>
      <w:r w:rsidR="00EB37BA">
        <w:t xml:space="preserve">para </w:t>
      </w:r>
      <w:r w:rsidR="00782D46">
        <w:t xml:space="preserve">os demais em época oportuna. Desta forma este projeto </w:t>
      </w:r>
      <w:r>
        <w:t>não contraria nenhuma de suas disposições, fazendo parte dos programas inseridos no PPA, o programa de Desenvolvimento e Modernização Legislativa</w:t>
      </w:r>
      <w:r w:rsidR="00782D46">
        <w:t>.</w:t>
      </w:r>
    </w:p>
    <w:p w:rsidR="00D24FF6" w:rsidP="003B5A44">
      <w:pPr>
        <w:spacing w:after="200" w:line="276" w:lineRule="auto"/>
        <w:jc w:val="both"/>
      </w:pPr>
    </w:p>
    <w:p w:rsidR="00D24FF6" w:rsidP="003B5A44">
      <w:pPr>
        <w:spacing w:after="200" w:line="276" w:lineRule="auto"/>
        <w:jc w:val="both"/>
      </w:pPr>
      <w:r>
        <w:t xml:space="preserve">Plano Plurianual </w:t>
      </w:r>
      <w:r>
        <w:t xml:space="preserve">( </w:t>
      </w:r>
      <w:r>
        <w:t>2022 a 2025)</w:t>
      </w:r>
      <w:r w:rsidR="007F3197">
        <w:t xml:space="preserve"> – Valores em Reais</w:t>
      </w:r>
    </w:p>
    <w:p w:rsidR="00D24FF6" w:rsidP="003B5A44">
      <w:pPr>
        <w:spacing w:after="200" w:line="276" w:lineRule="auto"/>
        <w:jc w:val="both"/>
      </w:pPr>
      <w:r>
        <w:tab/>
      </w:r>
      <w:r>
        <w:tab/>
      </w:r>
      <w:r>
        <w:tab/>
      </w:r>
    </w:p>
    <w:p w:rsidR="00D24FF6" w:rsidP="007F3197">
      <w:pPr>
        <w:pBdr>
          <w:top w:val="single" w:sz="4" w:space="1" w:color="auto"/>
          <w:left w:val="single" w:sz="4" w:space="4" w:color="auto"/>
          <w:bottom w:val="single" w:sz="4" w:space="1" w:color="auto"/>
          <w:right w:val="single" w:sz="4" w:space="4" w:color="auto"/>
        </w:pBdr>
        <w:spacing w:after="200" w:line="276" w:lineRule="auto"/>
        <w:jc w:val="both"/>
      </w:pPr>
      <w:r>
        <w:t>2022</w:t>
      </w:r>
      <w:r>
        <w:tab/>
      </w:r>
      <w:r w:rsidR="007F3197">
        <w:tab/>
      </w:r>
      <w:r w:rsidR="007F3197">
        <w:tab/>
      </w:r>
      <w:r>
        <w:t>2023</w:t>
      </w:r>
      <w:r>
        <w:tab/>
      </w:r>
      <w:r w:rsidR="007F3197">
        <w:tab/>
      </w:r>
      <w:r w:rsidR="007F3197">
        <w:tab/>
      </w:r>
      <w:r>
        <w:t>2024</w:t>
      </w:r>
      <w:r>
        <w:tab/>
      </w:r>
      <w:r w:rsidR="007F3197">
        <w:tab/>
      </w:r>
      <w:r w:rsidR="007F3197">
        <w:tab/>
      </w:r>
      <w:r>
        <w:t>2025</w:t>
      </w:r>
    </w:p>
    <w:p w:rsidR="00D24FF6" w:rsidP="007F3197">
      <w:pPr>
        <w:pBdr>
          <w:top w:val="single" w:sz="4" w:space="1" w:color="auto"/>
          <w:left w:val="single" w:sz="4" w:space="4" w:color="auto"/>
          <w:bottom w:val="single" w:sz="4" w:space="1" w:color="auto"/>
          <w:right w:val="single" w:sz="4" w:space="4" w:color="auto"/>
        </w:pBdr>
        <w:spacing w:after="200" w:line="276" w:lineRule="auto"/>
        <w:jc w:val="both"/>
      </w:pPr>
      <w:r>
        <w:t>21.000.000,00</w:t>
      </w:r>
      <w:r>
        <w:tab/>
        <w:t>22.500.000,00</w:t>
      </w:r>
      <w:r>
        <w:tab/>
        <w:t>23.900.000,00</w:t>
      </w:r>
      <w:r>
        <w:tab/>
        <w:t>25.400.000,00</w:t>
      </w:r>
    </w:p>
    <w:p w:rsidR="00D24FF6" w:rsidP="003B5A44">
      <w:pPr>
        <w:spacing w:after="200" w:line="276" w:lineRule="auto"/>
        <w:jc w:val="both"/>
      </w:pPr>
    </w:p>
    <w:p w:rsidR="007F3197" w:rsidP="007F3197">
      <w:pPr>
        <w:spacing w:after="200" w:line="276" w:lineRule="auto"/>
        <w:jc w:val="both"/>
      </w:pPr>
    </w:p>
    <w:p w:rsidR="007F3197" w:rsidP="007F3197">
      <w:pPr>
        <w:spacing w:after="200" w:line="276" w:lineRule="auto"/>
        <w:jc w:val="both"/>
      </w:pPr>
      <w:r>
        <w:t xml:space="preserve">Plano Plurianual </w:t>
      </w:r>
      <w:r>
        <w:t xml:space="preserve">( </w:t>
      </w:r>
      <w:r>
        <w:t>2022 a 2025) – Valores em Reais</w:t>
      </w:r>
      <w:r>
        <w:t xml:space="preserve"> – Nova Proposta</w:t>
      </w:r>
    </w:p>
    <w:p w:rsidR="007F3197" w:rsidP="007F3197">
      <w:pPr>
        <w:spacing w:after="200" w:line="276" w:lineRule="auto"/>
        <w:jc w:val="both"/>
      </w:pPr>
      <w:r>
        <w:tab/>
      </w:r>
      <w:r>
        <w:tab/>
      </w:r>
      <w:r>
        <w:tab/>
      </w:r>
    </w:p>
    <w:p w:rsidR="007F3197" w:rsidP="007F3197">
      <w:pPr>
        <w:pBdr>
          <w:top w:val="single" w:sz="4" w:space="1" w:color="auto"/>
          <w:left w:val="single" w:sz="4" w:space="4" w:color="auto"/>
          <w:bottom w:val="single" w:sz="4" w:space="1" w:color="auto"/>
          <w:right w:val="single" w:sz="4" w:space="4" w:color="auto"/>
        </w:pBdr>
        <w:spacing w:after="200" w:line="276" w:lineRule="auto"/>
        <w:jc w:val="both"/>
      </w:pPr>
      <w:r>
        <w:t>2022</w:t>
      </w:r>
      <w:r>
        <w:tab/>
      </w:r>
      <w:r>
        <w:tab/>
      </w:r>
      <w:r>
        <w:tab/>
      </w:r>
      <w:r>
        <w:tab/>
      </w:r>
      <w:r>
        <w:tab/>
      </w:r>
      <w:r>
        <w:t>2023</w:t>
      </w:r>
      <w:r>
        <w:tab/>
      </w:r>
      <w:r>
        <w:tab/>
      </w:r>
      <w:r>
        <w:tab/>
      </w:r>
      <w:r>
        <w:tab/>
        <w:t>2024</w:t>
      </w:r>
      <w:r>
        <w:tab/>
      </w:r>
    </w:p>
    <w:p w:rsidR="00D24FF6" w:rsidP="007F3197">
      <w:pPr>
        <w:pBdr>
          <w:top w:val="single" w:sz="4" w:space="1" w:color="auto"/>
          <w:left w:val="single" w:sz="4" w:space="4" w:color="auto"/>
          <w:bottom w:val="single" w:sz="4" w:space="1" w:color="auto"/>
          <w:right w:val="single" w:sz="4" w:space="4" w:color="auto"/>
        </w:pBdr>
        <w:spacing w:after="200" w:line="276" w:lineRule="auto"/>
        <w:jc w:val="both"/>
      </w:pPr>
      <w:r>
        <w:t>21.000.000,00</w:t>
      </w:r>
      <w:r>
        <w:tab/>
      </w:r>
      <w:r>
        <w:tab/>
      </w:r>
      <w:r>
        <w:tab/>
      </w:r>
      <w:r>
        <w:t>2</w:t>
      </w:r>
      <w:r>
        <w:t>4.700</w:t>
      </w:r>
      <w:r>
        <w:t>.000,00</w:t>
      </w:r>
      <w:r>
        <w:tab/>
      </w:r>
      <w:r>
        <w:tab/>
        <w:t>25.800.000,00</w:t>
      </w:r>
    </w:p>
    <w:p w:rsidR="007F3197" w:rsidP="003B5A44">
      <w:pPr>
        <w:spacing w:after="200" w:line="276" w:lineRule="auto"/>
        <w:jc w:val="both"/>
      </w:pPr>
    </w:p>
    <w:p w:rsidR="00D24FF6" w:rsidP="003B5A44">
      <w:pPr>
        <w:spacing w:after="200" w:line="276" w:lineRule="auto"/>
        <w:jc w:val="both"/>
      </w:pPr>
      <w:r>
        <w:t>Lei Orçamentária Anual – LOA:</w:t>
      </w:r>
    </w:p>
    <w:p w:rsidR="00D24FF6" w:rsidP="003B5A44">
      <w:pPr>
        <w:spacing w:after="200" w:line="276" w:lineRule="auto"/>
        <w:jc w:val="both"/>
      </w:pPr>
    </w:p>
    <w:p w:rsidR="00D24FF6" w:rsidP="003B5A44">
      <w:pPr>
        <w:spacing w:after="200" w:line="276" w:lineRule="auto"/>
        <w:jc w:val="both"/>
      </w:pPr>
      <w:r>
        <w:t>A criação ou o aumento de despesa deve estar adequado à existência de dotação orçamentária específica e suficiente, conforme fixados na LOA, de forma que somadas todas as despesas da mesma espécie, realizadas e a realizar, previstas no respectivo programa de trabalho, não sejam ultrapassados os limites orçamentários previstos para o exercício financeiro corrente.</w:t>
      </w:r>
    </w:p>
    <w:p w:rsidR="00D24FF6" w:rsidP="003B5A44">
      <w:pPr>
        <w:spacing w:after="200" w:line="276" w:lineRule="auto"/>
        <w:jc w:val="both"/>
      </w:pPr>
      <w:r>
        <w:t xml:space="preserve">Desta forma verifica-se na LOA de </w:t>
      </w:r>
      <w:r>
        <w:t>2022 (Lei nº 6.205 de 22/12/2021) dotação</w:t>
      </w:r>
      <w:r>
        <w:t xml:space="preserve"> orçamentária suficiente e apropriada para suportar o aumento das despesas com pessoal incrementadas através deste Projeto de Lei. </w:t>
      </w:r>
    </w:p>
    <w:p w:rsidR="00D24FF6" w:rsidP="003B5A44">
      <w:pPr>
        <w:spacing w:after="200" w:line="276" w:lineRule="auto"/>
        <w:jc w:val="both"/>
      </w:pPr>
    </w:p>
    <w:p w:rsidR="00D24FF6" w:rsidP="003B5A44">
      <w:pPr>
        <w:spacing w:after="200" w:line="276" w:lineRule="auto"/>
        <w:jc w:val="both"/>
      </w:pPr>
      <w:r>
        <w:t>Programação de Pagamentos:</w:t>
      </w:r>
    </w:p>
    <w:p w:rsidR="00D24FF6" w:rsidP="003B5A44">
      <w:pPr>
        <w:spacing w:after="200" w:line="276" w:lineRule="auto"/>
        <w:jc w:val="both"/>
      </w:pPr>
      <w:r>
        <w:tab/>
      </w:r>
    </w:p>
    <w:p w:rsidR="00D24FF6" w:rsidP="003B5A44">
      <w:pPr>
        <w:spacing w:after="200" w:line="276" w:lineRule="auto"/>
        <w:jc w:val="both"/>
      </w:pPr>
      <w:r>
        <w:tab/>
        <w:t>Apresentada na Planilha do Anexo II.</w:t>
      </w:r>
    </w:p>
    <w:p w:rsidR="00D24FF6" w:rsidP="003B5A44">
      <w:pPr>
        <w:spacing w:after="200" w:line="276" w:lineRule="auto"/>
        <w:jc w:val="both"/>
      </w:pPr>
    </w:p>
    <w:p w:rsidR="00D24FF6" w:rsidP="003B5A44">
      <w:pPr>
        <w:spacing w:after="200" w:line="276" w:lineRule="auto"/>
        <w:jc w:val="both"/>
      </w:pPr>
      <w:r>
        <w:t>Projeção do Gasto com Pessoal e o limite legal conforme Art. 29-A da CF:</w:t>
      </w:r>
    </w:p>
    <w:p w:rsidR="00D24FF6" w:rsidP="003B5A44">
      <w:pPr>
        <w:spacing w:after="200" w:line="276" w:lineRule="auto"/>
        <w:jc w:val="both"/>
      </w:pPr>
    </w:p>
    <w:p w:rsidR="00D24FF6" w:rsidP="007F3197">
      <w:pPr>
        <w:spacing w:after="200" w:line="276" w:lineRule="auto"/>
        <w:jc w:val="center"/>
      </w:pPr>
      <w:r>
        <w:t>Limite Constitucional para Gasto com Folha de Pagamento</w:t>
      </w:r>
    </w:p>
    <w:p w:rsidR="00D24FF6" w:rsidP="007F3197">
      <w:pPr>
        <w:spacing w:after="200" w:line="276" w:lineRule="auto"/>
        <w:jc w:val="center"/>
      </w:pPr>
      <w:r>
        <w:t>(Considerando a EC 109/2021)</w:t>
      </w:r>
    </w:p>
    <w:p w:rsidR="007F3197" w:rsidP="007F3197">
      <w:pPr>
        <w:spacing w:after="200" w:line="276" w:lineRule="auto"/>
        <w:jc w:val="center"/>
      </w:pPr>
      <w:r>
        <w:t>Valor (R$)</w:t>
      </w:r>
    </w:p>
    <w:p w:rsidR="007F3197" w:rsidP="007F3197">
      <w:pPr>
        <w:spacing w:after="200" w:line="276" w:lineRule="auto"/>
        <w:jc w:val="center"/>
      </w:pPr>
      <w:r>
        <w:t>Repasse de Duodécimos</w:t>
      </w:r>
    </w:p>
    <w:p w:rsidR="00D24FF6" w:rsidP="007F3197">
      <w:pPr>
        <w:pBdr>
          <w:top w:val="single" w:sz="4" w:space="1" w:color="auto"/>
          <w:left w:val="single" w:sz="4" w:space="4" w:color="auto"/>
          <w:bottom w:val="single" w:sz="4" w:space="1" w:color="auto"/>
          <w:right w:val="single" w:sz="4" w:space="4" w:color="auto"/>
        </w:pBdr>
        <w:spacing w:after="200" w:line="276" w:lineRule="auto"/>
        <w:jc w:val="both"/>
      </w:pPr>
      <w:r>
        <w:tab/>
        <w:t>2022</w:t>
      </w:r>
      <w:r>
        <w:tab/>
      </w:r>
      <w:r w:rsidR="007F3197">
        <w:tab/>
      </w:r>
      <w:r w:rsidR="007F3197">
        <w:tab/>
      </w:r>
      <w:r w:rsidR="007F3197">
        <w:tab/>
      </w:r>
      <w:r>
        <w:t>2023</w:t>
      </w:r>
      <w:r>
        <w:tab/>
      </w:r>
      <w:r w:rsidR="007F3197">
        <w:tab/>
      </w:r>
      <w:r w:rsidR="007F3197">
        <w:tab/>
      </w:r>
      <w:r w:rsidR="007F3197">
        <w:tab/>
      </w:r>
      <w:r>
        <w:t>2024</w:t>
      </w:r>
      <w:r>
        <w:tab/>
      </w:r>
    </w:p>
    <w:p w:rsidR="00D24FF6" w:rsidP="007F3197">
      <w:pPr>
        <w:pBdr>
          <w:top w:val="single" w:sz="4" w:space="1" w:color="auto"/>
          <w:left w:val="single" w:sz="4" w:space="4" w:color="auto"/>
          <w:bottom w:val="single" w:sz="4" w:space="1" w:color="auto"/>
          <w:right w:val="single" w:sz="4" w:space="4" w:color="auto"/>
        </w:pBdr>
        <w:spacing w:after="200" w:line="276" w:lineRule="auto"/>
        <w:jc w:val="both"/>
      </w:pPr>
      <w:r>
        <w:tab/>
        <w:t>21.000.000,00</w:t>
      </w:r>
      <w:r>
        <w:tab/>
      </w:r>
      <w:r w:rsidR="007F3197">
        <w:tab/>
      </w:r>
      <w:r>
        <w:t>2</w:t>
      </w:r>
      <w:r w:rsidR="007F3197">
        <w:t>4</w:t>
      </w:r>
      <w:r>
        <w:t>.</w:t>
      </w:r>
      <w:r w:rsidR="007F3197">
        <w:t>7</w:t>
      </w:r>
      <w:r>
        <w:t>00.000,00</w:t>
      </w:r>
      <w:r>
        <w:tab/>
      </w:r>
      <w:r w:rsidR="007F3197">
        <w:tab/>
      </w:r>
      <w:r>
        <w:t>2</w:t>
      </w:r>
      <w:r w:rsidR="007F3197">
        <w:t>5</w:t>
      </w:r>
      <w:r>
        <w:t>.</w:t>
      </w:r>
      <w:r w:rsidR="007F3197">
        <w:t>8</w:t>
      </w:r>
      <w:r>
        <w:t>00.000,00</w:t>
      </w:r>
      <w:r>
        <w:tab/>
      </w:r>
    </w:p>
    <w:p w:rsidR="00D24FF6" w:rsidP="007F3197">
      <w:pPr>
        <w:spacing w:after="200" w:line="276" w:lineRule="auto"/>
        <w:jc w:val="center"/>
      </w:pPr>
      <w:r>
        <w:t>Gasto de Pessoal Bruto</w:t>
      </w:r>
    </w:p>
    <w:p w:rsidR="00D24FF6" w:rsidP="007F3197">
      <w:pPr>
        <w:pBdr>
          <w:top w:val="single" w:sz="4" w:space="1" w:color="auto"/>
          <w:left w:val="single" w:sz="4" w:space="4" w:color="auto"/>
          <w:bottom w:val="single" w:sz="4" w:space="1" w:color="auto"/>
          <w:right w:val="single" w:sz="4" w:space="4" w:color="auto"/>
        </w:pBdr>
        <w:spacing w:after="200" w:line="276" w:lineRule="auto"/>
        <w:jc w:val="both"/>
      </w:pPr>
      <w:r>
        <w:tab/>
      </w:r>
      <w:r w:rsidR="00C92CC7">
        <w:t>13.912.265,08</w:t>
      </w:r>
      <w:r w:rsidR="00C92CC7">
        <w:tab/>
      </w:r>
      <w:r w:rsidR="007F3197">
        <w:tab/>
      </w:r>
      <w:r>
        <w:t>1</w:t>
      </w:r>
      <w:r w:rsidR="00C92CC7">
        <w:t>6.120.111,98</w:t>
      </w:r>
      <w:r>
        <w:tab/>
      </w:r>
      <w:r w:rsidR="007F3197">
        <w:tab/>
      </w:r>
      <w:r w:rsidR="00C92CC7">
        <w:t>17.602.600,94</w:t>
      </w:r>
      <w:r>
        <w:tab/>
      </w:r>
    </w:p>
    <w:p w:rsidR="00D24FF6" w:rsidP="007F3197">
      <w:pPr>
        <w:pBdr>
          <w:top w:val="single" w:sz="4" w:space="1" w:color="auto"/>
          <w:left w:val="single" w:sz="4" w:space="4" w:color="auto"/>
          <w:bottom w:val="single" w:sz="4" w:space="1" w:color="auto"/>
          <w:right w:val="single" w:sz="4" w:space="4" w:color="auto"/>
        </w:pBdr>
        <w:spacing w:after="200" w:line="276" w:lineRule="auto"/>
        <w:jc w:val="both"/>
      </w:pPr>
      <w:r>
        <w:tab/>
      </w:r>
      <w:r>
        <w:tab/>
      </w:r>
      <w:r>
        <w:tab/>
      </w:r>
      <w:r>
        <w:tab/>
      </w:r>
    </w:p>
    <w:p w:rsidR="00D24FF6" w:rsidP="007F3197">
      <w:pPr>
        <w:pBdr>
          <w:top w:val="single" w:sz="4" w:space="1" w:color="auto"/>
          <w:left w:val="single" w:sz="4" w:space="4" w:color="auto"/>
          <w:bottom w:val="single" w:sz="4" w:space="1" w:color="auto"/>
          <w:right w:val="single" w:sz="4" w:space="4" w:color="auto"/>
        </w:pBdr>
        <w:spacing w:after="200" w:line="276" w:lineRule="auto"/>
        <w:jc w:val="both"/>
      </w:pPr>
      <w:r>
        <w:tab/>
        <w:t>66,25%</w:t>
      </w:r>
      <w:r>
        <w:tab/>
      </w:r>
      <w:r w:rsidR="007F3197">
        <w:tab/>
      </w:r>
      <w:r w:rsidR="007F3197">
        <w:tab/>
      </w:r>
      <w:r>
        <w:t>6</w:t>
      </w:r>
      <w:r w:rsidR="00C92CC7">
        <w:t>5,26</w:t>
      </w:r>
      <w:r>
        <w:t>%</w:t>
      </w:r>
      <w:r>
        <w:tab/>
      </w:r>
      <w:r w:rsidR="007F3197">
        <w:tab/>
      </w:r>
      <w:r w:rsidR="007F3197">
        <w:tab/>
      </w:r>
      <w:r>
        <w:t>6</w:t>
      </w:r>
      <w:r w:rsidR="00C92CC7">
        <w:t>8</w:t>
      </w:r>
      <w:r>
        <w:t>,</w:t>
      </w:r>
      <w:r w:rsidR="00C92CC7">
        <w:t>23</w:t>
      </w:r>
      <w:r>
        <w:t>%</w:t>
      </w:r>
      <w:r>
        <w:tab/>
      </w:r>
    </w:p>
    <w:p w:rsidR="00D24FF6" w:rsidP="003B5A44">
      <w:pPr>
        <w:spacing w:after="200" w:line="276" w:lineRule="auto"/>
        <w:jc w:val="both"/>
      </w:pPr>
    </w:p>
    <w:p w:rsidR="00D24FF6" w:rsidP="003B5A44">
      <w:pPr>
        <w:spacing w:after="200" w:line="276" w:lineRule="auto"/>
        <w:jc w:val="both"/>
      </w:pPr>
    </w:p>
    <w:p w:rsidR="00D24FF6" w:rsidP="00C92CC7">
      <w:pPr>
        <w:spacing w:after="200" w:line="276" w:lineRule="auto"/>
        <w:jc w:val="center"/>
      </w:pPr>
      <w:r>
        <w:t>Limite Constitucional para Gasto com Folha de Pagamento</w:t>
      </w:r>
    </w:p>
    <w:p w:rsidR="00D24FF6" w:rsidP="00C92CC7">
      <w:pPr>
        <w:spacing w:after="200" w:line="276" w:lineRule="auto"/>
        <w:jc w:val="center"/>
      </w:pPr>
      <w:r>
        <w:t>Cálculo até 31/12/2024 - não se aplica a EC 109/2021)</w:t>
      </w:r>
    </w:p>
    <w:p w:rsidR="00C92CC7" w:rsidP="00C92CC7">
      <w:pPr>
        <w:spacing w:after="200" w:line="276" w:lineRule="auto"/>
        <w:jc w:val="center"/>
      </w:pPr>
      <w:r w:rsidRPr="00C92CC7">
        <w:t>Valor (R$)</w:t>
      </w:r>
    </w:p>
    <w:p w:rsidR="00C92CC7" w:rsidP="00C92CC7">
      <w:pPr>
        <w:spacing w:after="200" w:line="276" w:lineRule="auto"/>
        <w:jc w:val="center"/>
      </w:pPr>
      <w:r w:rsidRPr="00C92CC7">
        <w:tab/>
        <w:t>Repasse de Duodécimos Líquidos de Inativos</w:t>
      </w:r>
      <w:r w:rsidRPr="00C92CC7">
        <w:tab/>
      </w:r>
    </w:p>
    <w:p w:rsidR="00D24FF6" w:rsidP="00C92CC7">
      <w:pPr>
        <w:pBdr>
          <w:top w:val="single" w:sz="4" w:space="1" w:color="auto"/>
          <w:left w:val="single" w:sz="4" w:space="4" w:color="auto"/>
          <w:bottom w:val="single" w:sz="4" w:space="1" w:color="auto"/>
          <w:right w:val="single" w:sz="4" w:space="4" w:color="auto"/>
        </w:pBdr>
        <w:spacing w:after="200" w:line="276" w:lineRule="auto"/>
        <w:jc w:val="both"/>
      </w:pPr>
      <w:r>
        <w:tab/>
        <w:t>2022</w:t>
      </w:r>
      <w:r>
        <w:tab/>
      </w:r>
      <w:r w:rsidR="00C92CC7">
        <w:tab/>
      </w:r>
      <w:r w:rsidR="00C92CC7">
        <w:tab/>
      </w:r>
      <w:r w:rsidR="00C92CC7">
        <w:tab/>
      </w:r>
      <w:r>
        <w:t>2023</w:t>
      </w:r>
      <w:r>
        <w:tab/>
      </w:r>
      <w:r w:rsidR="00C92CC7">
        <w:tab/>
      </w:r>
      <w:r w:rsidR="00C92CC7">
        <w:tab/>
      </w:r>
      <w:r w:rsidR="00C92CC7">
        <w:tab/>
      </w:r>
      <w:r>
        <w:t>2024</w:t>
      </w:r>
      <w:r>
        <w:tab/>
      </w:r>
    </w:p>
    <w:p w:rsidR="00D24FF6" w:rsidP="00C92CC7">
      <w:pPr>
        <w:pBdr>
          <w:top w:val="single" w:sz="4" w:space="1" w:color="auto"/>
          <w:left w:val="single" w:sz="4" w:space="4" w:color="auto"/>
          <w:bottom w:val="single" w:sz="4" w:space="1" w:color="auto"/>
          <w:right w:val="single" w:sz="4" w:space="4" w:color="auto"/>
        </w:pBdr>
        <w:spacing w:after="200" w:line="276" w:lineRule="auto"/>
        <w:jc w:val="both"/>
      </w:pPr>
      <w:r>
        <w:tab/>
        <w:t>20.</w:t>
      </w:r>
      <w:r w:rsidR="00C92CC7">
        <w:t>359.021,14</w:t>
      </w:r>
      <w:r>
        <w:tab/>
      </w:r>
      <w:r w:rsidR="00C92CC7">
        <w:tab/>
      </w:r>
      <w:r>
        <w:t>2</w:t>
      </w:r>
      <w:r w:rsidR="00C92CC7">
        <w:t>3.981.250,39</w:t>
      </w:r>
      <w:r w:rsidR="00C92CC7">
        <w:tab/>
      </w:r>
      <w:r>
        <w:tab/>
        <w:t>2</w:t>
      </w:r>
      <w:r w:rsidR="00C92CC7">
        <w:t>5.005.291,63</w:t>
      </w:r>
      <w:r>
        <w:tab/>
      </w:r>
    </w:p>
    <w:p w:rsidR="00D24FF6" w:rsidP="00C92CC7">
      <w:pPr>
        <w:spacing w:after="200" w:line="276" w:lineRule="auto"/>
        <w:jc w:val="center"/>
      </w:pPr>
      <w:r>
        <w:t>Gasto de Pessoal Bruto</w:t>
      </w:r>
    </w:p>
    <w:p w:rsidR="00D24FF6" w:rsidP="00381B56">
      <w:pPr>
        <w:pBdr>
          <w:top w:val="single" w:sz="4" w:space="1" w:color="auto"/>
          <w:left w:val="single" w:sz="4" w:space="4" w:color="auto"/>
          <w:bottom w:val="single" w:sz="4" w:space="1" w:color="auto"/>
          <w:right w:val="single" w:sz="4" w:space="4" w:color="auto"/>
        </w:pBdr>
        <w:spacing w:after="200" w:line="276" w:lineRule="auto"/>
        <w:jc w:val="both"/>
      </w:pPr>
      <w:r>
        <w:tab/>
        <w:t>13.</w:t>
      </w:r>
      <w:r w:rsidR="00381B56">
        <w:t>271.286,23</w:t>
      </w:r>
      <w:r>
        <w:tab/>
      </w:r>
      <w:r w:rsidR="00381B56">
        <w:tab/>
      </w:r>
      <w:r>
        <w:t>1</w:t>
      </w:r>
      <w:r w:rsidR="00381B56">
        <w:t>5.401.362,37</w:t>
      </w:r>
      <w:r w:rsidR="00381B56">
        <w:tab/>
      </w:r>
      <w:r>
        <w:tab/>
        <w:t>1</w:t>
      </w:r>
      <w:r w:rsidR="00381B56">
        <w:t>6.807.892,56</w:t>
      </w:r>
      <w:r>
        <w:tab/>
      </w:r>
    </w:p>
    <w:p w:rsidR="00D24FF6" w:rsidP="00381B56">
      <w:pPr>
        <w:pBdr>
          <w:top w:val="single" w:sz="4" w:space="1" w:color="auto"/>
          <w:left w:val="single" w:sz="4" w:space="4" w:color="auto"/>
          <w:bottom w:val="single" w:sz="4" w:space="1" w:color="auto"/>
          <w:right w:val="single" w:sz="4" w:space="4" w:color="auto"/>
        </w:pBdr>
        <w:spacing w:after="200" w:line="276" w:lineRule="auto"/>
        <w:jc w:val="both"/>
      </w:pPr>
      <w:r>
        <w:tab/>
      </w:r>
      <w:r>
        <w:tab/>
      </w:r>
      <w:r>
        <w:tab/>
      </w:r>
      <w:r>
        <w:tab/>
      </w:r>
    </w:p>
    <w:p w:rsidR="00D24FF6" w:rsidP="00381B56">
      <w:pPr>
        <w:pBdr>
          <w:top w:val="single" w:sz="4" w:space="1" w:color="auto"/>
          <w:left w:val="single" w:sz="4" w:space="4" w:color="auto"/>
          <w:bottom w:val="single" w:sz="4" w:space="1" w:color="auto"/>
          <w:right w:val="single" w:sz="4" w:space="4" w:color="auto"/>
        </w:pBdr>
        <w:spacing w:after="200" w:line="276" w:lineRule="auto"/>
        <w:jc w:val="both"/>
      </w:pPr>
      <w:r>
        <w:tab/>
        <w:t>65,</w:t>
      </w:r>
      <w:r w:rsidR="00381B56">
        <w:t>19</w:t>
      </w:r>
      <w:r>
        <w:t>%</w:t>
      </w:r>
      <w:r>
        <w:tab/>
      </w:r>
      <w:r w:rsidR="00381B56">
        <w:tab/>
      </w:r>
      <w:r w:rsidR="00381B56">
        <w:tab/>
      </w:r>
      <w:r>
        <w:t>6</w:t>
      </w:r>
      <w:r w:rsidR="00381B56">
        <w:t>4,22</w:t>
      </w:r>
      <w:r>
        <w:t>%</w:t>
      </w:r>
      <w:r w:rsidR="00381B56">
        <w:tab/>
      </w:r>
      <w:r w:rsidR="00381B56">
        <w:tab/>
      </w:r>
      <w:r>
        <w:tab/>
        <w:t>6</w:t>
      </w:r>
      <w:r w:rsidR="00381B56">
        <w:t>7,22</w:t>
      </w:r>
      <w:r>
        <w:t>%</w:t>
      </w:r>
      <w:r>
        <w:tab/>
      </w:r>
    </w:p>
    <w:p w:rsidR="00D24FF6" w:rsidP="003B5A44">
      <w:pPr>
        <w:spacing w:after="200" w:line="276" w:lineRule="auto"/>
        <w:jc w:val="both"/>
      </w:pPr>
    </w:p>
    <w:p w:rsidR="00D24FF6" w:rsidP="003B5A44">
      <w:pPr>
        <w:spacing w:after="200" w:line="276" w:lineRule="auto"/>
        <w:jc w:val="both"/>
      </w:pPr>
    </w:p>
    <w:p w:rsidR="00D24FF6" w:rsidP="003B5A44">
      <w:pPr>
        <w:spacing w:after="200" w:line="276" w:lineRule="auto"/>
        <w:jc w:val="both"/>
      </w:pPr>
    </w:p>
    <w:p w:rsidR="00D24FF6" w:rsidP="003B5A44">
      <w:pPr>
        <w:spacing w:after="200" w:line="276" w:lineRule="auto"/>
        <w:jc w:val="both"/>
      </w:pPr>
      <w:r>
        <w:t xml:space="preserve">Nota: Os cálculos apresentam dois cenários, sendo o primeiro com as despesas aumentadas em decorrência do cômputo dos gastos com inativos e pensionistas incluídos nas despesas de pessoal e o segundo sem a inclusão destes dispêndios. Observa-se quanto a este quesito que a EC 109/2021 passa a exigir a alteração do art. 29-A da Constituição Federal, no início da primeira legislativa municipal a partir de sua publicação, portanto em 2025. Considera-se apropriado já analisar os cálculos sobre os dois cenários com o objetivo de viabilidade ou não dos projetos a serem implementados e o resultado que poderão causar </w:t>
      </w:r>
      <w:r>
        <w:t>a longo prazo</w:t>
      </w:r>
      <w:r>
        <w:t>, tendo este o caráter de despesas continuadas. Neste estudo, em nenhum dos cenários, conforme demonstrado ultrapassa-se o limite legal.</w:t>
      </w:r>
    </w:p>
    <w:p w:rsidR="00D24FF6" w:rsidP="003B5A44">
      <w:pPr>
        <w:spacing w:after="200" w:line="276" w:lineRule="auto"/>
        <w:jc w:val="both"/>
      </w:pPr>
    </w:p>
    <w:p w:rsidR="00D24FF6" w:rsidP="00520AA5">
      <w:pPr>
        <w:spacing w:after="200" w:line="276" w:lineRule="auto"/>
        <w:jc w:val="center"/>
      </w:pPr>
      <w:r>
        <w:t>Comprometimento da Despesa com Folha de Pagamento:</w:t>
      </w:r>
    </w:p>
    <w:p w:rsidR="00D25804" w:rsidP="003B5A44">
      <w:pPr>
        <w:spacing w:after="200" w:line="276" w:lineRule="auto"/>
        <w:jc w:val="both"/>
      </w:pPr>
    </w:p>
    <w:tbl>
      <w:tblPr>
        <w:tblW w:w="9340" w:type="dxa"/>
        <w:jc w:val="center"/>
        <w:tblInd w:w="70" w:type="dxa"/>
        <w:tblCellMar>
          <w:left w:w="70" w:type="dxa"/>
          <w:right w:w="70" w:type="dxa"/>
        </w:tblCellMar>
        <w:tblLook w:val="04A0"/>
      </w:tblPr>
      <w:tblGrid>
        <w:gridCol w:w="2740"/>
        <w:gridCol w:w="2220"/>
        <w:gridCol w:w="1460"/>
        <w:gridCol w:w="1460"/>
        <w:gridCol w:w="1460"/>
      </w:tblGrid>
      <w:tr w:rsidTr="00D25804">
        <w:tblPrEx>
          <w:tblW w:w="9340" w:type="dxa"/>
          <w:jc w:val="center"/>
          <w:tblInd w:w="70" w:type="dxa"/>
          <w:tblCellMar>
            <w:left w:w="70" w:type="dxa"/>
            <w:right w:w="70" w:type="dxa"/>
          </w:tblCellMar>
          <w:tblLook w:val="04A0"/>
        </w:tblPrEx>
        <w:trPr>
          <w:trHeight w:val="300"/>
          <w:jc w:val="center"/>
        </w:trPr>
        <w:tc>
          <w:tcPr>
            <w:tcW w:w="2740" w:type="dxa"/>
            <w:tcBorders>
              <w:top w:val="nil"/>
              <w:left w:val="nil"/>
              <w:bottom w:val="nil"/>
              <w:right w:val="nil"/>
            </w:tcBorders>
            <w:shd w:val="clear" w:color="auto" w:fill="auto"/>
            <w:noWrap/>
            <w:vAlign w:val="bottom"/>
            <w:hideMark/>
          </w:tcPr>
          <w:p w:rsidR="00D25804" w:rsidRPr="00D25804" w:rsidP="00D25804">
            <w:pPr>
              <w:rPr>
                <w:rFonts w:ascii="Calibri" w:hAnsi="Calibri" w:cs="Calibri"/>
                <w:color w:val="000000"/>
                <w:sz w:val="22"/>
                <w:szCs w:val="22"/>
              </w:rPr>
            </w:pPr>
          </w:p>
        </w:tc>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25804" w:rsidRPr="00D25804" w:rsidP="00D25804">
            <w:pPr>
              <w:jc w:val="center"/>
              <w:rPr>
                <w:rFonts w:ascii="Calibri" w:hAnsi="Calibri" w:cs="Calibri"/>
                <w:b/>
                <w:bCs/>
                <w:color w:val="000000"/>
                <w:sz w:val="22"/>
                <w:szCs w:val="22"/>
              </w:rPr>
            </w:pPr>
            <w:r w:rsidRPr="00D25804">
              <w:rPr>
                <w:rFonts w:ascii="Calibri" w:hAnsi="Calibri" w:cs="Calibri"/>
                <w:b/>
                <w:bCs/>
                <w:color w:val="000000"/>
                <w:sz w:val="22"/>
                <w:szCs w:val="22"/>
              </w:rPr>
              <w:t>Cenário Atual</w:t>
            </w:r>
          </w:p>
        </w:tc>
        <w:tc>
          <w:tcPr>
            <w:tcW w:w="438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D25804" w:rsidRPr="00D25804" w:rsidP="00D25804">
            <w:pPr>
              <w:jc w:val="center"/>
              <w:rPr>
                <w:rFonts w:ascii="Calibri" w:hAnsi="Calibri" w:cs="Calibri"/>
                <w:b/>
                <w:bCs/>
                <w:color w:val="000000"/>
                <w:sz w:val="22"/>
                <w:szCs w:val="22"/>
              </w:rPr>
            </w:pPr>
            <w:r w:rsidRPr="00D25804">
              <w:rPr>
                <w:rFonts w:ascii="Calibri" w:hAnsi="Calibri" w:cs="Calibri"/>
                <w:b/>
                <w:bCs/>
                <w:color w:val="000000"/>
                <w:sz w:val="22"/>
                <w:szCs w:val="22"/>
              </w:rPr>
              <w:t>Cenário Proposto - Projeção</w:t>
            </w:r>
          </w:p>
        </w:tc>
      </w:tr>
      <w:tr w:rsidTr="00D25804">
        <w:tblPrEx>
          <w:tblW w:w="9340" w:type="dxa"/>
          <w:jc w:val="center"/>
          <w:tblInd w:w="70" w:type="dxa"/>
          <w:tblCellMar>
            <w:left w:w="70" w:type="dxa"/>
            <w:right w:w="70" w:type="dxa"/>
          </w:tblCellMar>
          <w:tblLook w:val="04A0"/>
        </w:tblPrEx>
        <w:trPr>
          <w:trHeight w:val="300"/>
          <w:jc w:val="center"/>
        </w:trPr>
        <w:tc>
          <w:tcPr>
            <w:tcW w:w="2740" w:type="dxa"/>
            <w:tcBorders>
              <w:top w:val="nil"/>
              <w:left w:val="nil"/>
              <w:bottom w:val="nil"/>
              <w:right w:val="nil"/>
            </w:tcBorders>
            <w:shd w:val="clear" w:color="auto" w:fill="auto"/>
            <w:noWrap/>
            <w:vAlign w:val="bottom"/>
            <w:hideMark/>
          </w:tcPr>
          <w:p w:rsidR="00D25804" w:rsidRPr="00D25804" w:rsidP="00D25804">
            <w:pPr>
              <w:rPr>
                <w:rFonts w:ascii="Calibri" w:hAnsi="Calibri" w:cs="Calibri"/>
                <w:color w:val="000000"/>
                <w:sz w:val="22"/>
                <w:szCs w:val="22"/>
              </w:rPr>
            </w:pPr>
          </w:p>
        </w:tc>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D25804" w:rsidRPr="00D25804" w:rsidP="00D25804">
            <w:pPr>
              <w:jc w:val="right"/>
              <w:rPr>
                <w:rFonts w:ascii="Calibri" w:hAnsi="Calibri" w:cs="Calibri"/>
                <w:b/>
                <w:bCs/>
                <w:color w:val="000000"/>
                <w:sz w:val="22"/>
                <w:szCs w:val="22"/>
              </w:rPr>
            </w:pPr>
            <w:r w:rsidRPr="00D25804">
              <w:rPr>
                <w:rFonts w:ascii="Calibri" w:hAnsi="Calibri" w:cs="Calibri"/>
                <w:b/>
                <w:bCs/>
                <w:color w:val="000000"/>
                <w:sz w:val="22"/>
                <w:szCs w:val="22"/>
              </w:rPr>
              <w:t>2022</w:t>
            </w:r>
          </w:p>
        </w:tc>
        <w:tc>
          <w:tcPr>
            <w:tcW w:w="1460" w:type="dxa"/>
            <w:tcBorders>
              <w:top w:val="nil"/>
              <w:left w:val="nil"/>
              <w:bottom w:val="single" w:sz="4" w:space="0" w:color="auto"/>
              <w:right w:val="nil"/>
            </w:tcBorders>
            <w:shd w:val="clear" w:color="auto" w:fill="auto"/>
            <w:noWrap/>
            <w:vAlign w:val="bottom"/>
            <w:hideMark/>
          </w:tcPr>
          <w:p w:rsidR="00D25804" w:rsidRPr="00D25804" w:rsidP="00D25804">
            <w:pPr>
              <w:jc w:val="right"/>
              <w:rPr>
                <w:rFonts w:ascii="Calibri" w:hAnsi="Calibri" w:cs="Calibri"/>
                <w:b/>
                <w:bCs/>
                <w:color w:val="000000"/>
                <w:sz w:val="22"/>
                <w:szCs w:val="22"/>
              </w:rPr>
            </w:pPr>
            <w:r w:rsidRPr="00D25804">
              <w:rPr>
                <w:rFonts w:ascii="Calibri" w:hAnsi="Calibri" w:cs="Calibri"/>
                <w:b/>
                <w:bCs/>
                <w:color w:val="000000"/>
                <w:sz w:val="22"/>
                <w:szCs w:val="22"/>
              </w:rPr>
              <w:t>2022</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D25804" w:rsidRPr="00D25804" w:rsidP="00D25804">
            <w:pPr>
              <w:jc w:val="right"/>
              <w:rPr>
                <w:rFonts w:ascii="Calibri" w:hAnsi="Calibri" w:cs="Calibri"/>
                <w:b/>
                <w:bCs/>
                <w:color w:val="000000"/>
                <w:sz w:val="22"/>
                <w:szCs w:val="22"/>
              </w:rPr>
            </w:pPr>
            <w:r w:rsidRPr="00D25804">
              <w:rPr>
                <w:rFonts w:ascii="Calibri" w:hAnsi="Calibri" w:cs="Calibri"/>
                <w:b/>
                <w:bCs/>
                <w:color w:val="000000"/>
                <w:sz w:val="22"/>
                <w:szCs w:val="22"/>
              </w:rPr>
              <w:t>2023</w:t>
            </w:r>
          </w:p>
        </w:tc>
        <w:tc>
          <w:tcPr>
            <w:tcW w:w="1460" w:type="dxa"/>
            <w:tcBorders>
              <w:top w:val="nil"/>
              <w:left w:val="nil"/>
              <w:bottom w:val="single" w:sz="4" w:space="0" w:color="auto"/>
              <w:right w:val="single" w:sz="4" w:space="0" w:color="auto"/>
            </w:tcBorders>
            <w:shd w:val="clear" w:color="auto" w:fill="auto"/>
            <w:noWrap/>
            <w:vAlign w:val="bottom"/>
            <w:hideMark/>
          </w:tcPr>
          <w:p w:rsidR="00D25804" w:rsidRPr="00D25804" w:rsidP="00D25804">
            <w:pPr>
              <w:jc w:val="right"/>
              <w:rPr>
                <w:rFonts w:ascii="Calibri" w:hAnsi="Calibri" w:cs="Calibri"/>
                <w:b/>
                <w:bCs/>
                <w:color w:val="000000"/>
                <w:sz w:val="22"/>
                <w:szCs w:val="22"/>
              </w:rPr>
            </w:pPr>
            <w:r w:rsidRPr="00D25804">
              <w:rPr>
                <w:rFonts w:ascii="Calibri" w:hAnsi="Calibri" w:cs="Calibri"/>
                <w:b/>
                <w:bCs/>
                <w:color w:val="000000"/>
                <w:sz w:val="22"/>
                <w:szCs w:val="22"/>
              </w:rPr>
              <w:t>2024</w:t>
            </w:r>
          </w:p>
        </w:tc>
      </w:tr>
      <w:tr w:rsidTr="00D25804">
        <w:tblPrEx>
          <w:tblW w:w="9340" w:type="dxa"/>
          <w:jc w:val="center"/>
          <w:tblInd w:w="70" w:type="dxa"/>
          <w:tblCellMar>
            <w:left w:w="70" w:type="dxa"/>
            <w:right w:w="70" w:type="dxa"/>
          </w:tblCellMar>
          <w:tblLook w:val="04A0"/>
        </w:tblPrEx>
        <w:trPr>
          <w:trHeight w:val="300"/>
          <w:jc w:val="center"/>
        </w:trPr>
        <w:tc>
          <w:tcPr>
            <w:tcW w:w="2740" w:type="dxa"/>
            <w:tcBorders>
              <w:top w:val="single" w:sz="4" w:space="0" w:color="auto"/>
              <w:left w:val="single" w:sz="4" w:space="0" w:color="auto"/>
              <w:bottom w:val="nil"/>
              <w:right w:val="single" w:sz="4" w:space="0" w:color="auto"/>
            </w:tcBorders>
            <w:shd w:val="clear" w:color="auto" w:fill="auto"/>
            <w:noWrap/>
            <w:vAlign w:val="bottom"/>
            <w:hideMark/>
          </w:tcPr>
          <w:p w:rsidR="00D25804" w:rsidRPr="00D25804" w:rsidP="00D25804">
            <w:pPr>
              <w:rPr>
                <w:rFonts w:ascii="Calibri" w:hAnsi="Calibri" w:cs="Calibri"/>
                <w:color w:val="000000"/>
                <w:sz w:val="22"/>
                <w:szCs w:val="22"/>
              </w:rPr>
            </w:pPr>
            <w:r w:rsidRPr="00D25804">
              <w:rPr>
                <w:rFonts w:ascii="Calibri" w:hAnsi="Calibri" w:cs="Calibri"/>
                <w:color w:val="000000"/>
                <w:sz w:val="22"/>
                <w:szCs w:val="22"/>
              </w:rPr>
              <w:t>Subsídio por Vereador</w:t>
            </w:r>
          </w:p>
        </w:tc>
        <w:tc>
          <w:tcPr>
            <w:tcW w:w="2220" w:type="dxa"/>
            <w:tcBorders>
              <w:top w:val="nil"/>
              <w:left w:val="nil"/>
              <w:bottom w:val="nil"/>
              <w:right w:val="single" w:sz="4" w:space="0" w:color="auto"/>
            </w:tcBorders>
            <w:shd w:val="clear" w:color="auto" w:fill="auto"/>
            <w:noWrap/>
            <w:vAlign w:val="bottom"/>
            <w:hideMark/>
          </w:tcPr>
          <w:p w:rsidR="00D25804" w:rsidRPr="00D25804" w:rsidP="00D25804">
            <w:pPr>
              <w:jc w:val="right"/>
              <w:rPr>
                <w:rFonts w:ascii="Calibri" w:hAnsi="Calibri" w:cs="Calibri"/>
                <w:color w:val="000000"/>
                <w:sz w:val="22"/>
                <w:szCs w:val="22"/>
              </w:rPr>
            </w:pPr>
            <w:r w:rsidRPr="00D25804">
              <w:rPr>
                <w:rFonts w:ascii="Calibri" w:hAnsi="Calibri" w:cs="Calibri"/>
                <w:color w:val="000000"/>
                <w:sz w:val="22"/>
                <w:szCs w:val="22"/>
              </w:rPr>
              <w:t>6.900,00</w:t>
            </w:r>
          </w:p>
        </w:tc>
        <w:tc>
          <w:tcPr>
            <w:tcW w:w="1460" w:type="dxa"/>
            <w:tcBorders>
              <w:top w:val="nil"/>
              <w:left w:val="nil"/>
              <w:bottom w:val="nil"/>
              <w:right w:val="nil"/>
            </w:tcBorders>
            <w:shd w:val="clear" w:color="auto" w:fill="auto"/>
            <w:noWrap/>
            <w:vAlign w:val="bottom"/>
            <w:hideMark/>
          </w:tcPr>
          <w:p w:rsidR="00D25804" w:rsidRPr="00D25804" w:rsidP="00D25804">
            <w:pPr>
              <w:jc w:val="right"/>
              <w:rPr>
                <w:rFonts w:ascii="Calibri" w:hAnsi="Calibri" w:cs="Calibri"/>
                <w:color w:val="000000"/>
                <w:sz w:val="22"/>
                <w:szCs w:val="22"/>
              </w:rPr>
            </w:pPr>
            <w:r w:rsidRPr="00D25804">
              <w:rPr>
                <w:rFonts w:ascii="Calibri" w:hAnsi="Calibri" w:cs="Calibri"/>
                <w:color w:val="000000"/>
                <w:sz w:val="22"/>
                <w:szCs w:val="22"/>
              </w:rPr>
              <w:t>7.760,43</w:t>
            </w:r>
          </w:p>
        </w:tc>
        <w:tc>
          <w:tcPr>
            <w:tcW w:w="1460" w:type="dxa"/>
            <w:tcBorders>
              <w:top w:val="nil"/>
              <w:left w:val="single" w:sz="4" w:space="0" w:color="auto"/>
              <w:bottom w:val="nil"/>
              <w:right w:val="single" w:sz="4" w:space="0" w:color="auto"/>
            </w:tcBorders>
            <w:shd w:val="clear" w:color="auto" w:fill="auto"/>
            <w:noWrap/>
            <w:vAlign w:val="bottom"/>
            <w:hideMark/>
          </w:tcPr>
          <w:p w:rsidR="00D25804" w:rsidRPr="00D25804" w:rsidP="00D25804">
            <w:pPr>
              <w:jc w:val="right"/>
              <w:rPr>
                <w:rFonts w:ascii="Calibri" w:hAnsi="Calibri" w:cs="Calibri"/>
                <w:color w:val="000000"/>
                <w:sz w:val="22"/>
                <w:szCs w:val="22"/>
              </w:rPr>
            </w:pPr>
            <w:r w:rsidRPr="00D25804">
              <w:rPr>
                <w:rFonts w:ascii="Calibri" w:hAnsi="Calibri" w:cs="Calibri"/>
                <w:color w:val="000000"/>
                <w:sz w:val="22"/>
                <w:szCs w:val="22"/>
              </w:rPr>
              <w:t>8.691,68</w:t>
            </w:r>
          </w:p>
        </w:tc>
        <w:tc>
          <w:tcPr>
            <w:tcW w:w="1460" w:type="dxa"/>
            <w:tcBorders>
              <w:top w:val="nil"/>
              <w:left w:val="nil"/>
              <w:bottom w:val="nil"/>
              <w:right w:val="single" w:sz="4" w:space="0" w:color="auto"/>
            </w:tcBorders>
            <w:shd w:val="clear" w:color="auto" w:fill="auto"/>
            <w:noWrap/>
            <w:vAlign w:val="bottom"/>
            <w:hideMark/>
          </w:tcPr>
          <w:p w:rsidR="00D25804" w:rsidRPr="00D25804" w:rsidP="00D25804">
            <w:pPr>
              <w:jc w:val="right"/>
              <w:rPr>
                <w:rFonts w:ascii="Calibri" w:hAnsi="Calibri" w:cs="Calibri"/>
                <w:color w:val="000000"/>
                <w:sz w:val="22"/>
                <w:szCs w:val="22"/>
              </w:rPr>
            </w:pPr>
            <w:r w:rsidRPr="00D25804">
              <w:rPr>
                <w:rFonts w:ascii="Calibri" w:hAnsi="Calibri" w:cs="Calibri"/>
                <w:color w:val="000000"/>
                <w:sz w:val="22"/>
                <w:szCs w:val="22"/>
              </w:rPr>
              <w:t>9.560,85</w:t>
            </w:r>
          </w:p>
        </w:tc>
      </w:tr>
      <w:tr w:rsidTr="00D25804">
        <w:tblPrEx>
          <w:tblW w:w="9340" w:type="dxa"/>
          <w:jc w:val="center"/>
          <w:tblInd w:w="70" w:type="dxa"/>
          <w:tblCellMar>
            <w:left w:w="70" w:type="dxa"/>
            <w:right w:w="70" w:type="dxa"/>
          </w:tblCellMar>
          <w:tblLook w:val="04A0"/>
        </w:tblPrEx>
        <w:trPr>
          <w:trHeight w:val="300"/>
          <w:jc w:val="center"/>
        </w:trPr>
        <w:tc>
          <w:tcPr>
            <w:tcW w:w="2740" w:type="dxa"/>
            <w:tcBorders>
              <w:top w:val="nil"/>
              <w:left w:val="single" w:sz="4" w:space="0" w:color="auto"/>
              <w:bottom w:val="nil"/>
              <w:right w:val="single" w:sz="4" w:space="0" w:color="auto"/>
            </w:tcBorders>
            <w:shd w:val="clear" w:color="auto" w:fill="auto"/>
            <w:noWrap/>
            <w:vAlign w:val="bottom"/>
            <w:hideMark/>
          </w:tcPr>
          <w:p w:rsidR="00D25804" w:rsidRPr="00D25804" w:rsidP="00D25804">
            <w:pPr>
              <w:rPr>
                <w:rFonts w:ascii="Calibri" w:hAnsi="Calibri" w:cs="Calibri"/>
                <w:color w:val="000000"/>
                <w:sz w:val="22"/>
                <w:szCs w:val="22"/>
              </w:rPr>
            </w:pPr>
            <w:r w:rsidRPr="00D25804">
              <w:rPr>
                <w:rFonts w:ascii="Calibri" w:hAnsi="Calibri" w:cs="Calibri"/>
                <w:color w:val="000000"/>
                <w:sz w:val="22"/>
                <w:szCs w:val="22"/>
              </w:rPr>
              <w:t>Despesas com Subsídios</w:t>
            </w:r>
          </w:p>
        </w:tc>
        <w:tc>
          <w:tcPr>
            <w:tcW w:w="2220" w:type="dxa"/>
            <w:tcBorders>
              <w:top w:val="nil"/>
              <w:left w:val="nil"/>
              <w:bottom w:val="nil"/>
              <w:right w:val="single" w:sz="4" w:space="0" w:color="auto"/>
            </w:tcBorders>
            <w:shd w:val="clear" w:color="auto" w:fill="auto"/>
            <w:noWrap/>
            <w:vAlign w:val="bottom"/>
            <w:hideMark/>
          </w:tcPr>
          <w:p w:rsidR="00D25804" w:rsidRPr="00D25804" w:rsidP="00D25804">
            <w:pPr>
              <w:jc w:val="right"/>
              <w:rPr>
                <w:rFonts w:ascii="Calibri" w:hAnsi="Calibri" w:cs="Calibri"/>
                <w:color w:val="000000"/>
                <w:sz w:val="22"/>
                <w:szCs w:val="22"/>
              </w:rPr>
            </w:pPr>
            <w:r w:rsidRPr="00D25804">
              <w:rPr>
                <w:rFonts w:ascii="Calibri" w:hAnsi="Calibri" w:cs="Calibri"/>
                <w:color w:val="000000"/>
                <w:sz w:val="22"/>
                <w:szCs w:val="22"/>
              </w:rPr>
              <w:t>1.407.600,00</w:t>
            </w:r>
          </w:p>
        </w:tc>
        <w:tc>
          <w:tcPr>
            <w:tcW w:w="1460" w:type="dxa"/>
            <w:tcBorders>
              <w:top w:val="nil"/>
              <w:left w:val="nil"/>
              <w:bottom w:val="nil"/>
              <w:right w:val="nil"/>
            </w:tcBorders>
            <w:shd w:val="clear" w:color="auto" w:fill="auto"/>
            <w:noWrap/>
            <w:vAlign w:val="bottom"/>
            <w:hideMark/>
          </w:tcPr>
          <w:p w:rsidR="00D25804" w:rsidRPr="00D25804" w:rsidP="00D25804">
            <w:pPr>
              <w:jc w:val="right"/>
              <w:rPr>
                <w:rFonts w:ascii="Calibri" w:hAnsi="Calibri" w:cs="Calibri"/>
                <w:color w:val="000000"/>
                <w:sz w:val="22"/>
                <w:szCs w:val="22"/>
              </w:rPr>
            </w:pPr>
            <w:r w:rsidRPr="00D25804">
              <w:rPr>
                <w:rFonts w:ascii="Calibri" w:hAnsi="Calibri" w:cs="Calibri"/>
                <w:color w:val="000000"/>
                <w:sz w:val="22"/>
                <w:szCs w:val="22"/>
              </w:rPr>
              <w:t>1.524.618,48</w:t>
            </w:r>
          </w:p>
        </w:tc>
        <w:tc>
          <w:tcPr>
            <w:tcW w:w="1460" w:type="dxa"/>
            <w:tcBorders>
              <w:top w:val="nil"/>
              <w:left w:val="single" w:sz="4" w:space="0" w:color="auto"/>
              <w:bottom w:val="nil"/>
              <w:right w:val="single" w:sz="4" w:space="0" w:color="auto"/>
            </w:tcBorders>
            <w:shd w:val="clear" w:color="auto" w:fill="auto"/>
            <w:noWrap/>
            <w:vAlign w:val="bottom"/>
            <w:hideMark/>
          </w:tcPr>
          <w:p w:rsidR="00D25804" w:rsidRPr="00D25804" w:rsidP="00D25804">
            <w:pPr>
              <w:jc w:val="right"/>
              <w:rPr>
                <w:rFonts w:ascii="Calibri" w:hAnsi="Calibri" w:cs="Calibri"/>
                <w:color w:val="000000"/>
                <w:sz w:val="22"/>
                <w:szCs w:val="22"/>
              </w:rPr>
            </w:pPr>
            <w:r w:rsidRPr="00D25804">
              <w:rPr>
                <w:rFonts w:ascii="Calibri" w:hAnsi="Calibri" w:cs="Calibri"/>
                <w:color w:val="000000"/>
                <w:sz w:val="22"/>
                <w:szCs w:val="22"/>
              </w:rPr>
              <w:t>1.709.777,94</w:t>
            </w:r>
          </w:p>
        </w:tc>
        <w:tc>
          <w:tcPr>
            <w:tcW w:w="1460" w:type="dxa"/>
            <w:tcBorders>
              <w:top w:val="nil"/>
              <w:left w:val="nil"/>
              <w:bottom w:val="nil"/>
              <w:right w:val="single" w:sz="4" w:space="0" w:color="auto"/>
            </w:tcBorders>
            <w:shd w:val="clear" w:color="auto" w:fill="auto"/>
            <w:noWrap/>
            <w:vAlign w:val="bottom"/>
            <w:hideMark/>
          </w:tcPr>
          <w:p w:rsidR="00D25804" w:rsidRPr="00D25804" w:rsidP="00D25804">
            <w:pPr>
              <w:jc w:val="right"/>
              <w:rPr>
                <w:rFonts w:ascii="Calibri" w:hAnsi="Calibri" w:cs="Calibri"/>
                <w:color w:val="000000"/>
                <w:sz w:val="22"/>
                <w:szCs w:val="22"/>
              </w:rPr>
            </w:pPr>
            <w:r w:rsidRPr="00D25804">
              <w:rPr>
                <w:rFonts w:ascii="Calibri" w:hAnsi="Calibri" w:cs="Calibri"/>
                <w:color w:val="000000"/>
                <w:sz w:val="22"/>
                <w:szCs w:val="22"/>
              </w:rPr>
              <w:t>1.891.309,92</w:t>
            </w:r>
          </w:p>
        </w:tc>
      </w:tr>
      <w:tr w:rsidTr="00D25804">
        <w:tblPrEx>
          <w:tblW w:w="9340" w:type="dxa"/>
          <w:jc w:val="center"/>
          <w:tblInd w:w="70" w:type="dxa"/>
          <w:tblCellMar>
            <w:left w:w="70" w:type="dxa"/>
            <w:right w:w="70" w:type="dxa"/>
          </w:tblCellMar>
          <w:tblLook w:val="04A0"/>
        </w:tblPrEx>
        <w:trPr>
          <w:trHeight w:val="300"/>
          <w:jc w:val="center"/>
        </w:trPr>
        <w:tc>
          <w:tcPr>
            <w:tcW w:w="2740" w:type="dxa"/>
            <w:tcBorders>
              <w:top w:val="nil"/>
              <w:left w:val="single" w:sz="4" w:space="0" w:color="auto"/>
              <w:bottom w:val="nil"/>
              <w:right w:val="single" w:sz="4" w:space="0" w:color="auto"/>
            </w:tcBorders>
            <w:shd w:val="clear" w:color="auto" w:fill="auto"/>
            <w:noWrap/>
            <w:vAlign w:val="bottom"/>
            <w:hideMark/>
          </w:tcPr>
          <w:p w:rsidR="00D25804" w:rsidRPr="00D25804" w:rsidP="00D25804">
            <w:pPr>
              <w:rPr>
                <w:rFonts w:ascii="Calibri" w:hAnsi="Calibri" w:cs="Calibri"/>
                <w:color w:val="000000"/>
                <w:sz w:val="22"/>
                <w:szCs w:val="22"/>
              </w:rPr>
            </w:pPr>
            <w:r w:rsidRPr="00D25804">
              <w:rPr>
                <w:rFonts w:ascii="Calibri" w:hAnsi="Calibri" w:cs="Calibri"/>
                <w:color w:val="000000"/>
                <w:sz w:val="22"/>
                <w:szCs w:val="22"/>
              </w:rPr>
              <w:t>Encargos Sociais (21%)</w:t>
            </w:r>
          </w:p>
        </w:tc>
        <w:tc>
          <w:tcPr>
            <w:tcW w:w="2220" w:type="dxa"/>
            <w:tcBorders>
              <w:top w:val="nil"/>
              <w:left w:val="nil"/>
              <w:bottom w:val="nil"/>
              <w:right w:val="single" w:sz="4" w:space="0" w:color="auto"/>
            </w:tcBorders>
            <w:shd w:val="clear" w:color="auto" w:fill="auto"/>
            <w:noWrap/>
            <w:vAlign w:val="bottom"/>
            <w:hideMark/>
          </w:tcPr>
          <w:p w:rsidR="00D25804" w:rsidRPr="00D25804" w:rsidP="00D25804">
            <w:pPr>
              <w:jc w:val="right"/>
              <w:rPr>
                <w:rFonts w:ascii="Calibri" w:hAnsi="Calibri" w:cs="Calibri"/>
                <w:color w:val="000000"/>
                <w:sz w:val="22"/>
                <w:szCs w:val="22"/>
              </w:rPr>
            </w:pPr>
            <w:r w:rsidRPr="00D25804">
              <w:rPr>
                <w:rFonts w:ascii="Calibri" w:hAnsi="Calibri" w:cs="Calibri"/>
                <w:color w:val="000000"/>
                <w:sz w:val="22"/>
                <w:szCs w:val="22"/>
              </w:rPr>
              <w:t>295.596,00</w:t>
            </w:r>
          </w:p>
        </w:tc>
        <w:tc>
          <w:tcPr>
            <w:tcW w:w="1460" w:type="dxa"/>
            <w:tcBorders>
              <w:top w:val="nil"/>
              <w:left w:val="nil"/>
              <w:bottom w:val="nil"/>
              <w:right w:val="nil"/>
            </w:tcBorders>
            <w:shd w:val="clear" w:color="auto" w:fill="auto"/>
            <w:noWrap/>
            <w:vAlign w:val="bottom"/>
            <w:hideMark/>
          </w:tcPr>
          <w:p w:rsidR="00D25804" w:rsidRPr="00D25804" w:rsidP="00D25804">
            <w:pPr>
              <w:jc w:val="right"/>
              <w:rPr>
                <w:rFonts w:ascii="Calibri" w:hAnsi="Calibri" w:cs="Calibri"/>
                <w:color w:val="000000"/>
                <w:sz w:val="22"/>
                <w:szCs w:val="22"/>
              </w:rPr>
            </w:pPr>
            <w:r w:rsidRPr="00D25804">
              <w:rPr>
                <w:rFonts w:ascii="Calibri" w:hAnsi="Calibri" w:cs="Calibri"/>
                <w:color w:val="000000"/>
                <w:sz w:val="22"/>
                <w:szCs w:val="22"/>
              </w:rPr>
              <w:t>320.169,88</w:t>
            </w:r>
          </w:p>
        </w:tc>
        <w:tc>
          <w:tcPr>
            <w:tcW w:w="1460" w:type="dxa"/>
            <w:tcBorders>
              <w:top w:val="nil"/>
              <w:left w:val="single" w:sz="4" w:space="0" w:color="auto"/>
              <w:bottom w:val="nil"/>
              <w:right w:val="single" w:sz="4" w:space="0" w:color="auto"/>
            </w:tcBorders>
            <w:shd w:val="clear" w:color="auto" w:fill="auto"/>
            <w:noWrap/>
            <w:vAlign w:val="bottom"/>
            <w:hideMark/>
          </w:tcPr>
          <w:p w:rsidR="00D25804" w:rsidRPr="00D25804" w:rsidP="00D25804">
            <w:pPr>
              <w:jc w:val="right"/>
              <w:rPr>
                <w:rFonts w:ascii="Calibri" w:hAnsi="Calibri" w:cs="Calibri"/>
                <w:color w:val="000000"/>
                <w:sz w:val="22"/>
                <w:szCs w:val="22"/>
              </w:rPr>
            </w:pPr>
            <w:r w:rsidRPr="00D25804">
              <w:rPr>
                <w:rFonts w:ascii="Calibri" w:hAnsi="Calibri" w:cs="Calibri"/>
                <w:color w:val="000000"/>
                <w:sz w:val="22"/>
                <w:szCs w:val="22"/>
              </w:rPr>
              <w:t>359.053,37</w:t>
            </w:r>
          </w:p>
        </w:tc>
        <w:tc>
          <w:tcPr>
            <w:tcW w:w="1460" w:type="dxa"/>
            <w:tcBorders>
              <w:top w:val="nil"/>
              <w:left w:val="nil"/>
              <w:bottom w:val="nil"/>
              <w:right w:val="single" w:sz="4" w:space="0" w:color="auto"/>
            </w:tcBorders>
            <w:shd w:val="clear" w:color="auto" w:fill="auto"/>
            <w:noWrap/>
            <w:vAlign w:val="bottom"/>
            <w:hideMark/>
          </w:tcPr>
          <w:p w:rsidR="00D25804" w:rsidRPr="00D25804" w:rsidP="00D25804">
            <w:pPr>
              <w:jc w:val="right"/>
              <w:rPr>
                <w:rFonts w:ascii="Calibri" w:hAnsi="Calibri" w:cs="Calibri"/>
                <w:color w:val="000000"/>
                <w:sz w:val="22"/>
                <w:szCs w:val="22"/>
              </w:rPr>
            </w:pPr>
            <w:r w:rsidRPr="00D25804">
              <w:rPr>
                <w:rFonts w:ascii="Calibri" w:hAnsi="Calibri" w:cs="Calibri"/>
                <w:color w:val="000000"/>
                <w:sz w:val="22"/>
                <w:szCs w:val="22"/>
              </w:rPr>
              <w:t>397.175,08</w:t>
            </w:r>
          </w:p>
        </w:tc>
      </w:tr>
      <w:tr w:rsidTr="00D25804">
        <w:tblPrEx>
          <w:tblW w:w="9340" w:type="dxa"/>
          <w:jc w:val="center"/>
          <w:tblInd w:w="70" w:type="dxa"/>
          <w:tblCellMar>
            <w:left w:w="70" w:type="dxa"/>
            <w:right w:w="70" w:type="dxa"/>
          </w:tblCellMar>
          <w:tblLook w:val="04A0"/>
        </w:tblPrEx>
        <w:trPr>
          <w:trHeight w:val="300"/>
          <w:jc w:val="center"/>
        </w:trPr>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D25804" w:rsidRPr="00D25804" w:rsidP="00D25804">
            <w:pPr>
              <w:rPr>
                <w:rFonts w:ascii="Calibri" w:hAnsi="Calibri" w:cs="Calibri"/>
                <w:b/>
                <w:bCs/>
                <w:color w:val="000000"/>
                <w:sz w:val="22"/>
                <w:szCs w:val="22"/>
              </w:rPr>
            </w:pPr>
            <w:r w:rsidRPr="00D25804">
              <w:rPr>
                <w:rFonts w:ascii="Calibri" w:hAnsi="Calibri" w:cs="Calibri"/>
                <w:b/>
                <w:bCs/>
                <w:color w:val="000000"/>
                <w:sz w:val="22"/>
                <w:szCs w:val="22"/>
              </w:rPr>
              <w:t>TOTAL</w:t>
            </w:r>
          </w:p>
        </w:tc>
        <w:tc>
          <w:tcPr>
            <w:tcW w:w="2220" w:type="dxa"/>
            <w:tcBorders>
              <w:top w:val="nil"/>
              <w:left w:val="nil"/>
              <w:bottom w:val="single" w:sz="4" w:space="0" w:color="auto"/>
              <w:right w:val="single" w:sz="4" w:space="0" w:color="auto"/>
            </w:tcBorders>
            <w:shd w:val="clear" w:color="auto" w:fill="auto"/>
            <w:noWrap/>
            <w:vAlign w:val="bottom"/>
            <w:hideMark/>
          </w:tcPr>
          <w:p w:rsidR="00D25804" w:rsidRPr="00D25804" w:rsidP="00D25804">
            <w:pPr>
              <w:jc w:val="right"/>
              <w:rPr>
                <w:rFonts w:ascii="Calibri" w:hAnsi="Calibri" w:cs="Calibri"/>
                <w:b/>
                <w:bCs/>
                <w:color w:val="000000"/>
                <w:sz w:val="22"/>
                <w:szCs w:val="22"/>
              </w:rPr>
            </w:pPr>
            <w:r w:rsidRPr="00D25804">
              <w:rPr>
                <w:rFonts w:ascii="Calibri" w:hAnsi="Calibri" w:cs="Calibri"/>
                <w:b/>
                <w:bCs/>
                <w:color w:val="000000"/>
                <w:sz w:val="22"/>
                <w:szCs w:val="22"/>
              </w:rPr>
              <w:t>1.703.196,00</w:t>
            </w:r>
          </w:p>
        </w:tc>
        <w:tc>
          <w:tcPr>
            <w:tcW w:w="1460" w:type="dxa"/>
            <w:tcBorders>
              <w:top w:val="nil"/>
              <w:left w:val="nil"/>
              <w:bottom w:val="single" w:sz="4" w:space="0" w:color="auto"/>
              <w:right w:val="nil"/>
            </w:tcBorders>
            <w:shd w:val="clear" w:color="auto" w:fill="auto"/>
            <w:noWrap/>
            <w:vAlign w:val="bottom"/>
            <w:hideMark/>
          </w:tcPr>
          <w:p w:rsidR="00D25804" w:rsidRPr="00D25804" w:rsidP="00D25804">
            <w:pPr>
              <w:jc w:val="right"/>
              <w:rPr>
                <w:rFonts w:ascii="Calibri" w:hAnsi="Calibri" w:cs="Calibri"/>
                <w:b/>
                <w:bCs/>
                <w:color w:val="000000"/>
                <w:sz w:val="22"/>
                <w:szCs w:val="22"/>
              </w:rPr>
            </w:pPr>
            <w:r w:rsidRPr="00D25804">
              <w:rPr>
                <w:rFonts w:ascii="Calibri" w:hAnsi="Calibri" w:cs="Calibri"/>
                <w:b/>
                <w:bCs/>
                <w:color w:val="000000"/>
                <w:sz w:val="22"/>
                <w:szCs w:val="22"/>
              </w:rPr>
              <w:t>1.844.788,36</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D25804" w:rsidRPr="00D25804" w:rsidP="00D25804">
            <w:pPr>
              <w:jc w:val="right"/>
              <w:rPr>
                <w:rFonts w:ascii="Calibri" w:hAnsi="Calibri" w:cs="Calibri"/>
                <w:b/>
                <w:bCs/>
                <w:color w:val="000000"/>
                <w:sz w:val="22"/>
                <w:szCs w:val="22"/>
              </w:rPr>
            </w:pPr>
            <w:r w:rsidRPr="00D25804">
              <w:rPr>
                <w:rFonts w:ascii="Calibri" w:hAnsi="Calibri" w:cs="Calibri"/>
                <w:b/>
                <w:bCs/>
                <w:color w:val="000000"/>
                <w:sz w:val="22"/>
                <w:szCs w:val="22"/>
              </w:rPr>
              <w:t>2.068.831,30</w:t>
            </w:r>
          </w:p>
        </w:tc>
        <w:tc>
          <w:tcPr>
            <w:tcW w:w="1460" w:type="dxa"/>
            <w:tcBorders>
              <w:top w:val="nil"/>
              <w:left w:val="nil"/>
              <w:bottom w:val="single" w:sz="4" w:space="0" w:color="auto"/>
              <w:right w:val="single" w:sz="4" w:space="0" w:color="auto"/>
            </w:tcBorders>
            <w:shd w:val="clear" w:color="auto" w:fill="auto"/>
            <w:noWrap/>
            <w:vAlign w:val="bottom"/>
            <w:hideMark/>
          </w:tcPr>
          <w:p w:rsidR="00D25804" w:rsidRPr="00D25804" w:rsidP="00D25804">
            <w:pPr>
              <w:jc w:val="right"/>
              <w:rPr>
                <w:rFonts w:ascii="Calibri" w:hAnsi="Calibri" w:cs="Calibri"/>
                <w:b/>
                <w:bCs/>
                <w:color w:val="000000"/>
                <w:sz w:val="22"/>
                <w:szCs w:val="22"/>
              </w:rPr>
            </w:pPr>
            <w:r w:rsidRPr="00D25804">
              <w:rPr>
                <w:rFonts w:ascii="Calibri" w:hAnsi="Calibri" w:cs="Calibri"/>
                <w:b/>
                <w:bCs/>
                <w:color w:val="000000"/>
                <w:sz w:val="22"/>
                <w:szCs w:val="22"/>
              </w:rPr>
              <w:t>2.288.485,00</w:t>
            </w:r>
          </w:p>
        </w:tc>
      </w:tr>
      <w:tr w:rsidTr="00D25804">
        <w:tblPrEx>
          <w:tblW w:w="9340" w:type="dxa"/>
          <w:jc w:val="center"/>
          <w:tblInd w:w="70" w:type="dxa"/>
          <w:tblCellMar>
            <w:left w:w="70" w:type="dxa"/>
            <w:right w:w="70" w:type="dxa"/>
          </w:tblCellMar>
          <w:tblLook w:val="04A0"/>
        </w:tblPrEx>
        <w:trPr>
          <w:trHeight w:val="300"/>
          <w:jc w:val="center"/>
        </w:trPr>
        <w:tc>
          <w:tcPr>
            <w:tcW w:w="2740" w:type="dxa"/>
            <w:tcBorders>
              <w:top w:val="nil"/>
              <w:left w:val="nil"/>
              <w:bottom w:val="nil"/>
              <w:right w:val="nil"/>
            </w:tcBorders>
            <w:shd w:val="clear" w:color="auto" w:fill="auto"/>
            <w:noWrap/>
            <w:vAlign w:val="bottom"/>
            <w:hideMark/>
          </w:tcPr>
          <w:p w:rsidR="00D25804" w:rsidRPr="00D25804" w:rsidP="00D25804">
            <w:pPr>
              <w:rPr>
                <w:rFonts w:ascii="Calibri" w:hAnsi="Calibri" w:cs="Calibri"/>
                <w:color w:val="000000"/>
                <w:sz w:val="22"/>
                <w:szCs w:val="22"/>
              </w:rPr>
            </w:pPr>
          </w:p>
        </w:tc>
        <w:tc>
          <w:tcPr>
            <w:tcW w:w="2220" w:type="dxa"/>
            <w:tcBorders>
              <w:top w:val="nil"/>
              <w:left w:val="nil"/>
              <w:bottom w:val="nil"/>
              <w:right w:val="nil"/>
            </w:tcBorders>
            <w:shd w:val="clear" w:color="auto" w:fill="auto"/>
            <w:noWrap/>
            <w:vAlign w:val="bottom"/>
            <w:hideMark/>
          </w:tcPr>
          <w:p w:rsidR="00D25804" w:rsidRPr="00D25804" w:rsidP="00D25804">
            <w:pPr>
              <w:rPr>
                <w:rFonts w:ascii="Calibri" w:hAnsi="Calibri" w:cs="Calibri"/>
                <w:color w:val="000000"/>
                <w:sz w:val="22"/>
                <w:szCs w:val="22"/>
              </w:rPr>
            </w:pPr>
          </w:p>
        </w:tc>
        <w:tc>
          <w:tcPr>
            <w:tcW w:w="1460" w:type="dxa"/>
            <w:tcBorders>
              <w:top w:val="nil"/>
              <w:left w:val="nil"/>
              <w:bottom w:val="nil"/>
              <w:right w:val="nil"/>
            </w:tcBorders>
            <w:shd w:val="clear" w:color="auto" w:fill="auto"/>
            <w:noWrap/>
            <w:vAlign w:val="bottom"/>
            <w:hideMark/>
          </w:tcPr>
          <w:p w:rsidR="00D25804" w:rsidRPr="00D25804" w:rsidP="00D25804">
            <w:pPr>
              <w:rPr>
                <w:rFonts w:ascii="Calibri" w:hAnsi="Calibri" w:cs="Calibri"/>
                <w:color w:val="000000"/>
                <w:sz w:val="22"/>
                <w:szCs w:val="22"/>
              </w:rPr>
            </w:pPr>
          </w:p>
        </w:tc>
        <w:tc>
          <w:tcPr>
            <w:tcW w:w="1460" w:type="dxa"/>
            <w:tcBorders>
              <w:top w:val="nil"/>
              <w:left w:val="nil"/>
              <w:bottom w:val="nil"/>
              <w:right w:val="nil"/>
            </w:tcBorders>
            <w:shd w:val="clear" w:color="auto" w:fill="auto"/>
            <w:noWrap/>
            <w:vAlign w:val="bottom"/>
            <w:hideMark/>
          </w:tcPr>
          <w:p w:rsidR="00D25804" w:rsidRPr="00D25804" w:rsidP="00D25804">
            <w:pPr>
              <w:rPr>
                <w:rFonts w:ascii="Calibri" w:hAnsi="Calibri" w:cs="Calibri"/>
                <w:color w:val="000000"/>
                <w:sz w:val="22"/>
                <w:szCs w:val="22"/>
              </w:rPr>
            </w:pPr>
          </w:p>
        </w:tc>
        <w:tc>
          <w:tcPr>
            <w:tcW w:w="1460" w:type="dxa"/>
            <w:tcBorders>
              <w:top w:val="nil"/>
              <w:left w:val="nil"/>
              <w:bottom w:val="nil"/>
              <w:right w:val="nil"/>
            </w:tcBorders>
            <w:shd w:val="clear" w:color="auto" w:fill="auto"/>
            <w:noWrap/>
            <w:vAlign w:val="bottom"/>
            <w:hideMark/>
          </w:tcPr>
          <w:p w:rsidR="00D25804" w:rsidRPr="00D25804" w:rsidP="00D25804">
            <w:pPr>
              <w:rPr>
                <w:rFonts w:ascii="Calibri" w:hAnsi="Calibri" w:cs="Calibri"/>
                <w:color w:val="000000"/>
                <w:sz w:val="22"/>
                <w:szCs w:val="22"/>
              </w:rPr>
            </w:pPr>
          </w:p>
        </w:tc>
      </w:tr>
      <w:tr w:rsidTr="00D25804">
        <w:tblPrEx>
          <w:tblW w:w="9340" w:type="dxa"/>
          <w:jc w:val="center"/>
          <w:tblInd w:w="70" w:type="dxa"/>
          <w:tblCellMar>
            <w:left w:w="70" w:type="dxa"/>
            <w:right w:w="70" w:type="dxa"/>
          </w:tblCellMar>
          <w:tblLook w:val="04A0"/>
        </w:tblPrEx>
        <w:trPr>
          <w:trHeight w:val="300"/>
          <w:jc w:val="center"/>
        </w:trPr>
        <w:tc>
          <w:tcPr>
            <w:tcW w:w="2740" w:type="dxa"/>
            <w:tcBorders>
              <w:top w:val="single" w:sz="4" w:space="0" w:color="auto"/>
              <w:left w:val="single" w:sz="4" w:space="0" w:color="auto"/>
              <w:bottom w:val="nil"/>
              <w:right w:val="nil"/>
            </w:tcBorders>
            <w:shd w:val="clear" w:color="auto" w:fill="auto"/>
            <w:noWrap/>
            <w:vAlign w:val="bottom"/>
            <w:hideMark/>
          </w:tcPr>
          <w:p w:rsidR="00D25804" w:rsidRPr="00D25804" w:rsidP="00D25804">
            <w:pPr>
              <w:rPr>
                <w:rFonts w:ascii="Calibri" w:hAnsi="Calibri" w:cs="Calibri"/>
                <w:b/>
                <w:bCs/>
                <w:color w:val="000000"/>
                <w:sz w:val="22"/>
                <w:szCs w:val="22"/>
              </w:rPr>
            </w:pPr>
            <w:r w:rsidRPr="00D25804">
              <w:rPr>
                <w:rFonts w:ascii="Calibri" w:hAnsi="Calibri" w:cs="Calibri"/>
                <w:b/>
                <w:bCs/>
                <w:color w:val="000000"/>
                <w:sz w:val="22"/>
                <w:szCs w:val="22"/>
              </w:rPr>
              <w:t>Aumento</w:t>
            </w:r>
          </w:p>
        </w:tc>
        <w:tc>
          <w:tcPr>
            <w:tcW w:w="2220" w:type="dxa"/>
            <w:tcBorders>
              <w:top w:val="single" w:sz="4" w:space="0" w:color="auto"/>
              <w:left w:val="nil"/>
              <w:bottom w:val="nil"/>
              <w:right w:val="nil"/>
            </w:tcBorders>
            <w:shd w:val="clear" w:color="auto" w:fill="auto"/>
            <w:noWrap/>
            <w:vAlign w:val="bottom"/>
            <w:hideMark/>
          </w:tcPr>
          <w:p w:rsidR="00D25804" w:rsidRPr="00D25804" w:rsidP="00D25804">
            <w:pPr>
              <w:rPr>
                <w:rFonts w:ascii="Calibri" w:hAnsi="Calibri" w:cs="Calibri"/>
                <w:b/>
                <w:bCs/>
                <w:color w:val="000000"/>
                <w:sz w:val="22"/>
                <w:szCs w:val="22"/>
              </w:rPr>
            </w:pPr>
            <w:r w:rsidRPr="00D25804">
              <w:rPr>
                <w:rFonts w:ascii="Calibri" w:hAnsi="Calibri" w:cs="Calibri"/>
                <w:b/>
                <w:bCs/>
                <w:color w:val="000000"/>
                <w:sz w:val="22"/>
                <w:szCs w:val="22"/>
              </w:rPr>
              <w:t> </w:t>
            </w:r>
          </w:p>
        </w:tc>
        <w:tc>
          <w:tcPr>
            <w:tcW w:w="1460" w:type="dxa"/>
            <w:tcBorders>
              <w:top w:val="single" w:sz="4" w:space="0" w:color="auto"/>
              <w:left w:val="single" w:sz="4" w:space="0" w:color="auto"/>
              <w:bottom w:val="nil"/>
              <w:right w:val="single" w:sz="4" w:space="0" w:color="auto"/>
            </w:tcBorders>
            <w:shd w:val="clear" w:color="auto" w:fill="auto"/>
            <w:noWrap/>
            <w:vAlign w:val="bottom"/>
            <w:hideMark/>
          </w:tcPr>
          <w:p w:rsidR="00D25804" w:rsidRPr="00D25804" w:rsidP="00D25804">
            <w:pPr>
              <w:jc w:val="right"/>
              <w:rPr>
                <w:rFonts w:ascii="Calibri" w:hAnsi="Calibri" w:cs="Calibri"/>
                <w:b/>
                <w:bCs/>
                <w:color w:val="000000"/>
                <w:sz w:val="22"/>
                <w:szCs w:val="22"/>
              </w:rPr>
            </w:pPr>
            <w:r w:rsidRPr="00D25804">
              <w:rPr>
                <w:rFonts w:ascii="Calibri" w:hAnsi="Calibri" w:cs="Calibri"/>
                <w:b/>
                <w:bCs/>
                <w:color w:val="000000"/>
                <w:sz w:val="22"/>
                <w:szCs w:val="22"/>
              </w:rPr>
              <w:t>141.592,36</w:t>
            </w:r>
          </w:p>
        </w:tc>
        <w:tc>
          <w:tcPr>
            <w:tcW w:w="1460" w:type="dxa"/>
            <w:tcBorders>
              <w:top w:val="single" w:sz="4" w:space="0" w:color="auto"/>
              <w:left w:val="nil"/>
              <w:bottom w:val="nil"/>
              <w:right w:val="nil"/>
            </w:tcBorders>
            <w:shd w:val="clear" w:color="auto" w:fill="auto"/>
            <w:noWrap/>
            <w:vAlign w:val="bottom"/>
            <w:hideMark/>
          </w:tcPr>
          <w:p w:rsidR="00D25804" w:rsidRPr="00D25804" w:rsidP="00D25804">
            <w:pPr>
              <w:jc w:val="right"/>
              <w:rPr>
                <w:rFonts w:ascii="Calibri" w:hAnsi="Calibri" w:cs="Calibri"/>
                <w:b/>
                <w:bCs/>
                <w:color w:val="000000"/>
                <w:sz w:val="22"/>
                <w:szCs w:val="22"/>
              </w:rPr>
            </w:pPr>
            <w:r w:rsidRPr="00D25804">
              <w:rPr>
                <w:rFonts w:ascii="Calibri" w:hAnsi="Calibri" w:cs="Calibri"/>
                <w:b/>
                <w:bCs/>
                <w:color w:val="000000"/>
                <w:sz w:val="22"/>
                <w:szCs w:val="22"/>
              </w:rPr>
              <w:t>365.635,30</w:t>
            </w:r>
          </w:p>
        </w:tc>
        <w:tc>
          <w:tcPr>
            <w:tcW w:w="1460" w:type="dxa"/>
            <w:tcBorders>
              <w:top w:val="single" w:sz="4" w:space="0" w:color="auto"/>
              <w:left w:val="single" w:sz="4" w:space="0" w:color="auto"/>
              <w:bottom w:val="nil"/>
              <w:right w:val="single" w:sz="4" w:space="0" w:color="auto"/>
            </w:tcBorders>
            <w:shd w:val="clear" w:color="auto" w:fill="auto"/>
            <w:noWrap/>
            <w:vAlign w:val="bottom"/>
            <w:hideMark/>
          </w:tcPr>
          <w:p w:rsidR="00D25804" w:rsidRPr="00D25804" w:rsidP="00D25804">
            <w:pPr>
              <w:jc w:val="right"/>
              <w:rPr>
                <w:rFonts w:ascii="Calibri" w:hAnsi="Calibri" w:cs="Calibri"/>
                <w:b/>
                <w:bCs/>
                <w:color w:val="000000"/>
                <w:sz w:val="22"/>
                <w:szCs w:val="22"/>
              </w:rPr>
            </w:pPr>
            <w:r w:rsidRPr="00D25804">
              <w:rPr>
                <w:rFonts w:ascii="Calibri" w:hAnsi="Calibri" w:cs="Calibri"/>
                <w:b/>
                <w:bCs/>
                <w:color w:val="000000"/>
                <w:sz w:val="22"/>
                <w:szCs w:val="22"/>
              </w:rPr>
              <w:t>585.289,00</w:t>
            </w:r>
          </w:p>
        </w:tc>
      </w:tr>
      <w:tr w:rsidTr="00D25804">
        <w:tblPrEx>
          <w:tblW w:w="9340" w:type="dxa"/>
          <w:jc w:val="center"/>
          <w:tblInd w:w="70" w:type="dxa"/>
          <w:tblCellMar>
            <w:left w:w="70" w:type="dxa"/>
            <w:right w:w="70" w:type="dxa"/>
          </w:tblCellMar>
          <w:tblLook w:val="04A0"/>
        </w:tblPrEx>
        <w:trPr>
          <w:trHeight w:val="300"/>
          <w:jc w:val="center"/>
        </w:trPr>
        <w:tc>
          <w:tcPr>
            <w:tcW w:w="2740" w:type="dxa"/>
            <w:tcBorders>
              <w:top w:val="nil"/>
              <w:left w:val="single" w:sz="4" w:space="0" w:color="auto"/>
              <w:bottom w:val="single" w:sz="4" w:space="0" w:color="auto"/>
              <w:right w:val="nil"/>
            </w:tcBorders>
            <w:shd w:val="clear" w:color="auto" w:fill="auto"/>
            <w:noWrap/>
            <w:vAlign w:val="bottom"/>
            <w:hideMark/>
          </w:tcPr>
          <w:p w:rsidR="00D25804" w:rsidRPr="00D25804" w:rsidP="00D25804">
            <w:pPr>
              <w:jc w:val="right"/>
              <w:rPr>
                <w:rFonts w:ascii="Calibri" w:hAnsi="Calibri" w:cs="Calibri"/>
                <w:color w:val="000000"/>
                <w:sz w:val="22"/>
                <w:szCs w:val="22"/>
              </w:rPr>
            </w:pPr>
            <w:r w:rsidRPr="00D25804">
              <w:rPr>
                <w:rFonts w:ascii="Calibri" w:hAnsi="Calibri" w:cs="Calibri"/>
                <w:color w:val="000000"/>
                <w:sz w:val="22"/>
                <w:szCs w:val="22"/>
              </w:rPr>
              <w:t>%</w:t>
            </w:r>
          </w:p>
        </w:tc>
        <w:tc>
          <w:tcPr>
            <w:tcW w:w="2220" w:type="dxa"/>
            <w:tcBorders>
              <w:top w:val="nil"/>
              <w:left w:val="nil"/>
              <w:bottom w:val="single" w:sz="4" w:space="0" w:color="auto"/>
              <w:right w:val="nil"/>
            </w:tcBorders>
            <w:shd w:val="clear" w:color="auto" w:fill="auto"/>
            <w:noWrap/>
            <w:vAlign w:val="bottom"/>
            <w:hideMark/>
          </w:tcPr>
          <w:p w:rsidR="00D25804" w:rsidRPr="00D25804" w:rsidP="00D25804">
            <w:pPr>
              <w:rPr>
                <w:rFonts w:ascii="Calibri" w:hAnsi="Calibri" w:cs="Calibri"/>
                <w:b/>
                <w:bCs/>
                <w:color w:val="000000"/>
                <w:sz w:val="22"/>
                <w:szCs w:val="22"/>
              </w:rPr>
            </w:pPr>
            <w:r w:rsidRPr="00D25804">
              <w:rPr>
                <w:rFonts w:ascii="Calibri" w:hAnsi="Calibri" w:cs="Calibri"/>
                <w:b/>
                <w:bCs/>
                <w:color w:val="000000"/>
                <w:sz w:val="22"/>
                <w:szCs w:val="22"/>
              </w:rPr>
              <w:t> </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D25804" w:rsidRPr="00D25804" w:rsidP="00D25804">
            <w:pPr>
              <w:jc w:val="right"/>
              <w:rPr>
                <w:rFonts w:ascii="Calibri" w:hAnsi="Calibri" w:cs="Calibri"/>
                <w:b/>
                <w:bCs/>
                <w:color w:val="000000"/>
                <w:sz w:val="22"/>
                <w:szCs w:val="22"/>
              </w:rPr>
            </w:pPr>
            <w:r w:rsidRPr="00D25804">
              <w:rPr>
                <w:rFonts w:ascii="Calibri" w:hAnsi="Calibri" w:cs="Calibri"/>
                <w:b/>
                <w:bCs/>
                <w:color w:val="000000"/>
                <w:sz w:val="22"/>
                <w:szCs w:val="22"/>
              </w:rPr>
              <w:t>8,3%</w:t>
            </w:r>
          </w:p>
        </w:tc>
        <w:tc>
          <w:tcPr>
            <w:tcW w:w="1460" w:type="dxa"/>
            <w:tcBorders>
              <w:top w:val="nil"/>
              <w:left w:val="nil"/>
              <w:bottom w:val="single" w:sz="4" w:space="0" w:color="auto"/>
              <w:right w:val="nil"/>
            </w:tcBorders>
            <w:shd w:val="clear" w:color="auto" w:fill="auto"/>
            <w:noWrap/>
            <w:vAlign w:val="bottom"/>
            <w:hideMark/>
          </w:tcPr>
          <w:p w:rsidR="00D25804" w:rsidRPr="00D25804" w:rsidP="00D25804">
            <w:pPr>
              <w:jc w:val="right"/>
              <w:rPr>
                <w:rFonts w:ascii="Calibri" w:hAnsi="Calibri" w:cs="Calibri"/>
                <w:b/>
                <w:bCs/>
                <w:color w:val="000000"/>
                <w:sz w:val="22"/>
                <w:szCs w:val="22"/>
              </w:rPr>
            </w:pPr>
            <w:r w:rsidRPr="00D25804">
              <w:rPr>
                <w:rFonts w:ascii="Calibri" w:hAnsi="Calibri" w:cs="Calibri"/>
                <w:b/>
                <w:bCs/>
                <w:color w:val="000000"/>
                <w:sz w:val="22"/>
                <w:szCs w:val="22"/>
              </w:rPr>
              <w:t>21,5%</w:t>
            </w:r>
          </w:p>
        </w:tc>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D25804" w:rsidRPr="00D25804" w:rsidP="00D25804">
            <w:pPr>
              <w:jc w:val="right"/>
              <w:rPr>
                <w:rFonts w:ascii="Calibri" w:hAnsi="Calibri" w:cs="Calibri"/>
                <w:b/>
                <w:bCs/>
                <w:color w:val="000000"/>
                <w:sz w:val="22"/>
                <w:szCs w:val="22"/>
              </w:rPr>
            </w:pPr>
            <w:r w:rsidRPr="00D25804">
              <w:rPr>
                <w:rFonts w:ascii="Calibri" w:hAnsi="Calibri" w:cs="Calibri"/>
                <w:b/>
                <w:bCs/>
                <w:color w:val="000000"/>
                <w:sz w:val="22"/>
                <w:szCs w:val="22"/>
              </w:rPr>
              <w:t>34,4%</w:t>
            </w:r>
          </w:p>
        </w:tc>
      </w:tr>
    </w:tbl>
    <w:p w:rsidR="00D25804" w:rsidP="003B5A44">
      <w:pPr>
        <w:spacing w:after="200" w:line="276" w:lineRule="auto"/>
        <w:jc w:val="both"/>
      </w:pPr>
    </w:p>
    <w:p w:rsidR="00D24FF6" w:rsidP="003B5A44">
      <w:pPr>
        <w:spacing w:after="200" w:line="276" w:lineRule="auto"/>
        <w:jc w:val="both"/>
      </w:pPr>
      <w:r>
        <w:t>Das alterações propostas, após conclu</w:t>
      </w:r>
      <w:r w:rsidR="00D25804">
        <w:t>são</w:t>
      </w:r>
      <w:r>
        <w:t xml:space="preserve">, analisando a evolução das despesas, conforme demonstrativo acima, </w:t>
      </w:r>
      <w:r w:rsidR="00D25804">
        <w:t>apresent</w:t>
      </w:r>
      <w:r>
        <w:t xml:space="preserve">a aumento de despesas em torno de </w:t>
      </w:r>
      <w:r w:rsidR="00D25804">
        <w:t>8,3</w:t>
      </w:r>
      <w:r>
        <w:t>% (</w:t>
      </w:r>
      <w:r w:rsidR="00D25804">
        <w:t>oito inteiros e três décimos por cento</w:t>
      </w:r>
      <w:r w:rsidR="00EB37BA">
        <w:t>)</w:t>
      </w:r>
      <w:r w:rsidR="00D25804">
        <w:t xml:space="preserve"> no primeiro ano c</w:t>
      </w:r>
      <w:r>
        <w:t>omputando em conjunto seu reflexo sobre Encargos Sociais pertinentes</w:t>
      </w:r>
      <w:r w:rsidR="00D25804">
        <w:t xml:space="preserve"> e no terceiro ano, 34,4% (trinta e quatro inteiros e quatro centésimos por cento)</w:t>
      </w:r>
      <w:r w:rsidR="00EB37BA">
        <w:t>,</w:t>
      </w:r>
      <w:r w:rsidR="00D25804">
        <w:t xml:space="preserve"> sobre a despesa atual com subsídios</w:t>
      </w:r>
      <w:r>
        <w:t xml:space="preserve">. </w:t>
      </w:r>
    </w:p>
    <w:p w:rsidR="00D25804" w:rsidP="003B5A44">
      <w:pPr>
        <w:spacing w:after="200" w:line="276" w:lineRule="auto"/>
        <w:jc w:val="both"/>
      </w:pPr>
    </w:p>
    <w:p w:rsidR="00D24FF6" w:rsidP="003B5A44">
      <w:pPr>
        <w:spacing w:after="200" w:line="276" w:lineRule="auto"/>
        <w:jc w:val="both"/>
      </w:pPr>
      <w:r>
        <w:t>Resumo:</w:t>
      </w:r>
    </w:p>
    <w:p w:rsidR="00D24FF6" w:rsidP="003B5A44">
      <w:pPr>
        <w:spacing w:after="200" w:line="276" w:lineRule="auto"/>
        <w:jc w:val="both"/>
      </w:pPr>
    </w:p>
    <w:p w:rsidR="00D24FF6" w:rsidP="003B5A44">
      <w:pPr>
        <w:spacing w:after="200" w:line="276" w:lineRule="auto"/>
        <w:jc w:val="both"/>
      </w:pPr>
      <w:r>
        <w:t>•</w:t>
      </w:r>
      <w:r>
        <w:tab/>
        <w:t xml:space="preserve">O presente estudo traz para o ano de 2022 bem como para os próximos exercícios acréscimo permanente no gasto com Folha de Pagamento, porém em </w:t>
      </w:r>
      <w:r>
        <w:t>conformidade com o Art. 29-A da Constituição Federal, tanto na forma de cálculo atual, quanto a que vigorará a partir de 2025, representando percentual total abaixo do limite máximo permitido, comparando-se com a projeção da atual estrutura de Cargos e Salários vigente nesta data;</w:t>
      </w:r>
    </w:p>
    <w:p w:rsidR="00D24FF6" w:rsidP="003B5A44">
      <w:pPr>
        <w:spacing w:after="200" w:line="276" w:lineRule="auto"/>
        <w:jc w:val="both"/>
      </w:pPr>
      <w:r>
        <w:t>•</w:t>
      </w:r>
      <w:r>
        <w:tab/>
        <w:t xml:space="preserve">Em atendimento à Lei Complementar nº 101 – Lei de Responsabilidade Fiscal, as despesas aumentadas e/ou criadas no presente estudo são compatíveis com o PPA e com as metas previstas na LDO, e se encontram adequadas à existência de dotação orçamentária específica e suficiente conforme LOA, no exercício de 2022, </w:t>
      </w:r>
      <w:r w:rsidR="00D25804">
        <w:t>necessitando de adequações para os exercícios seguintes (</w:t>
      </w:r>
      <w:r>
        <w:t>(2023 e 2024 - PPA),</w:t>
      </w:r>
      <w:r w:rsidR="00D25804">
        <w:t xml:space="preserve"> as quais se encontram em andamento na elaboração da nova LDO 2023,</w:t>
      </w:r>
      <w:r>
        <w:t xml:space="preserve"> e encontra-se da mesma forma inferior ao limite previsto no Art. 20, incisos I, II e III da referida Lei;</w:t>
      </w:r>
      <w:bookmarkStart w:id="0" w:name="_GoBack"/>
      <w:bookmarkEnd w:id="0"/>
    </w:p>
    <w:p w:rsidR="00D24FF6" w:rsidP="003B5A44">
      <w:pPr>
        <w:spacing w:after="200" w:line="276" w:lineRule="auto"/>
        <w:jc w:val="both"/>
      </w:pPr>
      <w:r>
        <w:t>•</w:t>
      </w:r>
      <w:r>
        <w:tab/>
        <w:t>O desembolso financeiro ou o impacto sobre o Caixa estará coberto com o ingresso mensal de transferências de Duodécimos realizados pelo Poder Executivo, conforme planilhas (Anexo III).</w:t>
      </w:r>
    </w:p>
    <w:p w:rsidR="00D24FF6" w:rsidP="003B5A44">
      <w:pPr>
        <w:spacing w:after="200" w:line="276" w:lineRule="auto"/>
        <w:jc w:val="both"/>
      </w:pPr>
    </w:p>
    <w:p w:rsidR="00D24FF6" w:rsidP="003B5A44">
      <w:pPr>
        <w:spacing w:after="200" w:line="276" w:lineRule="auto"/>
        <w:jc w:val="both"/>
      </w:pPr>
      <w:r>
        <w:t>Observação: os valores projetados neste estudo de impacto são meramente estimados dentro da proposta apresentada. Qualquer oscilação negativa que impacte nos cálculos apresentados, em decorrência da efetivação dos dados estimados, os mesmos deverão ser refeitos com a finalidade de adequação aos limites legais exigidos.</w:t>
      </w:r>
    </w:p>
    <w:p w:rsidR="00D24FF6" w:rsidP="003B5A44">
      <w:pPr>
        <w:spacing w:after="200" w:line="276" w:lineRule="auto"/>
        <w:jc w:val="both"/>
      </w:pPr>
    </w:p>
    <w:p w:rsidR="00D24FF6" w:rsidP="00D25804">
      <w:pPr>
        <w:spacing w:after="200" w:line="276" w:lineRule="auto"/>
        <w:jc w:val="right"/>
      </w:pPr>
      <w:r>
        <w:t xml:space="preserve"> </w:t>
      </w:r>
      <w:r w:rsidR="00D25804">
        <w:tab/>
      </w:r>
      <w:r w:rsidR="00D25804">
        <w:tab/>
      </w:r>
      <w:r>
        <w:t>Valinhos,</w:t>
      </w:r>
      <w:r>
        <w:t>1</w:t>
      </w:r>
      <w:r w:rsidR="00D25804">
        <w:t>8</w:t>
      </w:r>
      <w:r>
        <w:t xml:space="preserve"> de </w:t>
      </w:r>
      <w:r w:rsidR="00D25804">
        <w:t>Maio</w:t>
      </w:r>
      <w:r>
        <w:t xml:space="preserve"> de 2022.</w:t>
      </w:r>
    </w:p>
    <w:p w:rsidR="00D24FF6" w:rsidP="00D25804">
      <w:pPr>
        <w:spacing w:after="200" w:line="276" w:lineRule="auto"/>
        <w:jc w:val="right"/>
      </w:pPr>
    </w:p>
    <w:p w:rsidR="00D24FF6" w:rsidP="00D25804">
      <w:pPr>
        <w:spacing w:after="200" w:line="276" w:lineRule="auto"/>
        <w:jc w:val="right"/>
      </w:pPr>
      <w:r>
        <w:t xml:space="preserve">Ivone Ap. </w:t>
      </w:r>
      <w:r>
        <w:t>Frizarin</w:t>
      </w:r>
      <w:r>
        <w:t xml:space="preserve"> </w:t>
      </w:r>
      <w:r>
        <w:t>Alves</w:t>
      </w:r>
      <w:r>
        <w:t xml:space="preserve">      </w:t>
      </w:r>
    </w:p>
    <w:p w:rsidR="00FE39C3" w:rsidRPr="00A937ED" w:rsidP="00D25804">
      <w:pPr>
        <w:spacing w:after="200" w:line="276" w:lineRule="auto"/>
        <w:jc w:val="right"/>
      </w:pPr>
      <w:r>
        <w:t xml:space="preserve">                         Diretoria de Finanças</w:t>
      </w:r>
    </w:p>
    <w:sectPr w:rsidSect="00A937ED">
      <w:headerReference w:type="default" r:id="rId4"/>
      <w:footerReference w:type="default" r:id="rId5"/>
      <w:headerReference w:type="first" r:id="rId6"/>
      <w:footerReference w:type="first" r:id="rId7"/>
      <w:pgSz w:w="11906" w:h="16838"/>
      <w:pgMar w:top="2666" w:right="1133" w:bottom="1418" w:left="1701" w:header="567" w:footer="385"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7C4A" w:rsidP="003C7C4A">
    <w:pPr>
      <w:pStyle w:val="Footer"/>
      <w:pBdr>
        <w:bottom w:val="single" w:sz="12" w:space="1" w:color="auto"/>
      </w:pBdr>
      <w:ind w:right="-567" w:hanging="1134"/>
      <w:jc w:val="right"/>
      <w:rPr>
        <w:rFonts w:cs="Arial"/>
        <w:sz w:val="18"/>
        <w:szCs w:val="18"/>
      </w:rPr>
    </w:pPr>
    <w:r>
      <w:rPr>
        <w:rFonts w:cs="Arial"/>
        <w:sz w:val="18"/>
        <w:szCs w:val="18"/>
      </w:rPr>
      <w:t xml:space="preserve">Página </w:t>
    </w:r>
    <w:r>
      <w:rPr>
        <w:rFonts w:cs="Arial"/>
        <w:b/>
        <w:sz w:val="18"/>
        <w:szCs w:val="18"/>
      </w:rPr>
      <w:fldChar w:fldCharType="begin"/>
    </w:r>
    <w:r>
      <w:rPr>
        <w:rFonts w:cs="Arial"/>
        <w:b/>
        <w:sz w:val="18"/>
        <w:szCs w:val="18"/>
      </w:rPr>
      <w:instrText>PAGE  \* Arabic  \* MERGEFORMAT</w:instrText>
    </w:r>
    <w:r>
      <w:rPr>
        <w:rFonts w:cs="Arial"/>
        <w:b/>
        <w:sz w:val="18"/>
        <w:szCs w:val="18"/>
      </w:rPr>
      <w:fldChar w:fldCharType="separate"/>
    </w:r>
    <w:r w:rsidR="00EB37BA">
      <w:rPr>
        <w:rFonts w:cs="Arial"/>
        <w:b/>
        <w:noProof/>
        <w:sz w:val="18"/>
        <w:szCs w:val="18"/>
      </w:rPr>
      <w:t>2</w:t>
    </w:r>
    <w:r>
      <w:rPr>
        <w:rFonts w:cs="Arial"/>
        <w:b/>
        <w:sz w:val="18"/>
        <w:szCs w:val="18"/>
      </w:rPr>
      <w:fldChar w:fldCharType="end"/>
    </w:r>
    <w:r>
      <w:rPr>
        <w:rFonts w:cs="Arial"/>
        <w:sz w:val="18"/>
        <w:szCs w:val="18"/>
      </w:rPr>
      <w:t xml:space="preserve"> de </w:t>
    </w:r>
    <w:r>
      <w:rPr>
        <w:rFonts w:cs="Arial"/>
        <w:b/>
        <w:sz w:val="18"/>
        <w:szCs w:val="18"/>
      </w:rPr>
      <w:fldChar w:fldCharType="begin"/>
    </w:r>
    <w:r>
      <w:rPr>
        <w:rFonts w:cs="Arial"/>
        <w:b/>
        <w:sz w:val="18"/>
        <w:szCs w:val="18"/>
      </w:rPr>
      <w:instrText>NUMPAGES  \* Arabic  \* MERGEFORMAT</w:instrText>
    </w:r>
    <w:r>
      <w:rPr>
        <w:rFonts w:cs="Arial"/>
        <w:b/>
        <w:sz w:val="18"/>
        <w:szCs w:val="18"/>
      </w:rPr>
      <w:fldChar w:fldCharType="separate"/>
    </w:r>
    <w:r w:rsidR="00EB37BA">
      <w:rPr>
        <w:rFonts w:cs="Arial"/>
        <w:b/>
        <w:noProof/>
        <w:sz w:val="18"/>
        <w:szCs w:val="18"/>
      </w:rPr>
      <w:t>7</w:t>
    </w:r>
    <w:r>
      <w:rPr>
        <w:rFonts w:cs="Arial"/>
        <w:b/>
        <w:sz w:val="18"/>
        <w:szCs w:val="18"/>
      </w:rPr>
      <w:fldChar w:fldCharType="end"/>
    </w:r>
  </w:p>
  <w:p w:rsidR="003C7C4A" w:rsidP="003C7C4A">
    <w:pPr>
      <w:pStyle w:val="Footer"/>
      <w:spacing w:before="120"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 xml:space="preserve">Rua Ângelo Antônio </w:t>
    </w:r>
    <w:r>
      <w:rPr>
        <w:rFonts w:eastAsia="Arial Unicode MS" w:cs="Arial"/>
        <w:color w:val="17365D" w:themeColor="text2" w:themeShade="BF"/>
        <w:sz w:val="17"/>
        <w:szCs w:val="17"/>
      </w:rPr>
      <w:t>Schiavinato</w:t>
    </w:r>
    <w:r>
      <w:rPr>
        <w:rFonts w:eastAsia="Arial Unicode MS" w:cs="Arial"/>
        <w:color w:val="17365D" w:themeColor="text2" w:themeShade="BF"/>
        <w:sz w:val="17"/>
        <w:szCs w:val="17"/>
      </w:rPr>
      <w:t>, nº 59 - Residencial São Luiz - CEP 13270-470 - Valinhos-</w:t>
    </w:r>
    <w:r>
      <w:rPr>
        <w:rFonts w:eastAsia="Arial Unicode MS" w:cs="Arial"/>
        <w:color w:val="17365D" w:themeColor="text2" w:themeShade="BF"/>
        <w:sz w:val="17"/>
        <w:szCs w:val="17"/>
      </w:rPr>
      <w:t>SP</w:t>
    </w:r>
  </w:p>
  <w:p w:rsidR="003C7C4A" w:rsidP="003C7C4A">
    <w:pPr>
      <w:pStyle w:val="Footer"/>
      <w:spacing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PABX:</w:t>
    </w:r>
    <w:r>
      <w:rPr>
        <w:rFonts w:eastAsia="Arial Unicode MS" w:cs="Arial"/>
        <w:color w:val="17365D" w:themeColor="text2" w:themeShade="BF"/>
        <w:sz w:val="17"/>
        <w:szCs w:val="17"/>
      </w:rPr>
      <w:t>(19) 3829-5355 - www.camaravalinhos.sp.gov.br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7C4A" w:rsidP="003C7C4A">
    <w:pPr>
      <w:pStyle w:val="Footer"/>
      <w:pBdr>
        <w:bottom w:val="single" w:sz="12" w:space="1" w:color="auto"/>
      </w:pBdr>
      <w:ind w:right="-567" w:hanging="1134"/>
      <w:jc w:val="right"/>
      <w:rPr>
        <w:rFonts w:cs="Arial"/>
        <w:sz w:val="18"/>
        <w:szCs w:val="18"/>
      </w:rPr>
    </w:pPr>
    <w:r>
      <w:rPr>
        <w:rFonts w:cs="Arial"/>
        <w:sz w:val="18"/>
        <w:szCs w:val="18"/>
      </w:rPr>
      <w:t xml:space="preserve">Página </w:t>
    </w:r>
    <w:r>
      <w:rPr>
        <w:rFonts w:cs="Arial"/>
        <w:b/>
        <w:sz w:val="18"/>
        <w:szCs w:val="18"/>
      </w:rPr>
      <w:fldChar w:fldCharType="begin"/>
    </w:r>
    <w:r>
      <w:rPr>
        <w:rFonts w:cs="Arial"/>
        <w:b/>
        <w:sz w:val="18"/>
        <w:szCs w:val="18"/>
      </w:rPr>
      <w:instrText>PAGE  \* Arabic  \* MERGEFORMAT</w:instrText>
    </w:r>
    <w:r>
      <w:rPr>
        <w:rFonts w:cs="Arial"/>
        <w:b/>
        <w:sz w:val="18"/>
        <w:szCs w:val="18"/>
      </w:rPr>
      <w:fldChar w:fldCharType="separate"/>
    </w:r>
    <w:r w:rsidR="00EB37BA">
      <w:rPr>
        <w:rFonts w:cs="Arial"/>
        <w:b/>
        <w:noProof/>
        <w:sz w:val="18"/>
        <w:szCs w:val="18"/>
      </w:rPr>
      <w:t>1</w:t>
    </w:r>
    <w:r>
      <w:rPr>
        <w:rFonts w:cs="Arial"/>
        <w:b/>
        <w:sz w:val="18"/>
        <w:szCs w:val="18"/>
      </w:rPr>
      <w:fldChar w:fldCharType="end"/>
    </w:r>
    <w:r>
      <w:rPr>
        <w:rFonts w:cs="Arial"/>
        <w:sz w:val="18"/>
        <w:szCs w:val="18"/>
      </w:rPr>
      <w:t xml:space="preserve"> de </w:t>
    </w:r>
    <w:r>
      <w:rPr>
        <w:rFonts w:cs="Arial"/>
        <w:b/>
        <w:sz w:val="18"/>
        <w:szCs w:val="18"/>
      </w:rPr>
      <w:fldChar w:fldCharType="begin"/>
    </w:r>
    <w:r>
      <w:rPr>
        <w:rFonts w:cs="Arial"/>
        <w:b/>
        <w:sz w:val="18"/>
        <w:szCs w:val="18"/>
      </w:rPr>
      <w:instrText>NUMPAGES  \* Arabic  \* MERGEFORMAT</w:instrText>
    </w:r>
    <w:r>
      <w:rPr>
        <w:rFonts w:cs="Arial"/>
        <w:b/>
        <w:sz w:val="18"/>
        <w:szCs w:val="18"/>
      </w:rPr>
      <w:fldChar w:fldCharType="separate"/>
    </w:r>
    <w:r w:rsidR="00EB37BA">
      <w:rPr>
        <w:rFonts w:cs="Arial"/>
        <w:b/>
        <w:noProof/>
        <w:sz w:val="18"/>
        <w:szCs w:val="18"/>
      </w:rPr>
      <w:t>7</w:t>
    </w:r>
    <w:r>
      <w:rPr>
        <w:rFonts w:cs="Arial"/>
        <w:b/>
        <w:sz w:val="18"/>
        <w:szCs w:val="18"/>
      </w:rPr>
      <w:fldChar w:fldCharType="end"/>
    </w:r>
  </w:p>
  <w:p w:rsidR="003C7C4A" w:rsidP="003C7C4A">
    <w:pPr>
      <w:pStyle w:val="Footer"/>
      <w:spacing w:before="120"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 xml:space="preserve">Rua Ângelo Antônio </w:t>
    </w:r>
    <w:r>
      <w:rPr>
        <w:rFonts w:eastAsia="Arial Unicode MS" w:cs="Arial"/>
        <w:color w:val="17365D" w:themeColor="text2" w:themeShade="BF"/>
        <w:sz w:val="17"/>
        <w:szCs w:val="17"/>
      </w:rPr>
      <w:t>Schiavinato</w:t>
    </w:r>
    <w:r>
      <w:rPr>
        <w:rFonts w:eastAsia="Arial Unicode MS" w:cs="Arial"/>
        <w:color w:val="17365D" w:themeColor="text2" w:themeShade="BF"/>
        <w:sz w:val="17"/>
        <w:szCs w:val="17"/>
      </w:rPr>
      <w:t>, nº 59 - Residencial São Luiz - CEP 13270-470 - Valinhos-</w:t>
    </w:r>
    <w:r>
      <w:rPr>
        <w:rFonts w:eastAsia="Arial Unicode MS" w:cs="Arial"/>
        <w:color w:val="17365D" w:themeColor="text2" w:themeShade="BF"/>
        <w:sz w:val="17"/>
        <w:szCs w:val="17"/>
      </w:rPr>
      <w:t>SP</w:t>
    </w:r>
  </w:p>
  <w:p w:rsidR="003C7C4A" w:rsidP="003C7C4A">
    <w:pPr>
      <w:pStyle w:val="Footer"/>
      <w:spacing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PABX:</w:t>
    </w:r>
    <w:r>
      <w:rPr>
        <w:rFonts w:eastAsia="Arial Unicode MS" w:cs="Arial"/>
        <w:color w:val="17365D" w:themeColor="text2" w:themeShade="BF"/>
        <w:sz w:val="17"/>
        <w:szCs w:val="17"/>
      </w:rPr>
      <w:t>(19) 3829-5355 - www.camaravalinhos.sp.gov.br</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288C" w:rsidRPr="009019DC" w:rsidP="00FC47D9">
    <w:pPr>
      <w:pStyle w:val="Header"/>
      <w:spacing w:line="276" w:lineRule="auto"/>
      <w:ind w:left="1134"/>
      <w:jc w:val="right"/>
      <w:rPr>
        <w:rFonts w:cs="Arial"/>
        <w:sz w:val="18"/>
        <w:szCs w:val="18"/>
      </w:rPr>
    </w:pPr>
    <w:r w:rsidRPr="009019DC">
      <w:rPr>
        <w:rFonts w:cs="Arial"/>
        <w:noProof/>
        <w:sz w:val="18"/>
        <w:szCs w:val="18"/>
      </w:rPr>
      <w:drawing>
        <wp:anchor distT="0" distB="0" distL="114300" distR="114300" simplePos="0" relativeHeight="251659264" behindDoc="1" locked="0" layoutInCell="1" allowOverlap="1">
          <wp:simplePos x="0" y="0"/>
          <wp:positionH relativeFrom="margin">
            <wp:posOffset>535305</wp:posOffset>
          </wp:positionH>
          <wp:positionV relativeFrom="margin">
            <wp:posOffset>1551033</wp:posOffset>
          </wp:positionV>
          <wp:extent cx="4770336" cy="4760686"/>
          <wp:effectExtent l="0" t="0" r="0" b="1905"/>
          <wp:wrapNone/>
          <wp:docPr id="1" name="Imagem 1"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896052" name="Picture 4" descr="C:\Users\rafaelrodrigues\Desktop\dcghzcz-bd954014-8209-47cc-b286-8cfef43bb77f.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770336" cy="4760686"/>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19DC">
      <w:rPr>
        <w:rFonts w:cs="Arial"/>
        <w:noProof/>
        <w:sz w:val="18"/>
        <w:szCs w:val="18"/>
      </w:rPr>
      <w:drawing>
        <wp:anchor distT="0" distB="0" distL="114300" distR="114300" simplePos="0" relativeHeight="251658240" behindDoc="0" locked="0" layoutInCell="1" allowOverlap="1">
          <wp:simplePos x="0" y="0"/>
          <wp:positionH relativeFrom="column">
            <wp:posOffset>-30724</wp:posOffset>
          </wp:positionH>
          <wp:positionV relativeFrom="paragraph">
            <wp:posOffset>1548</wp:posOffset>
          </wp:positionV>
          <wp:extent cx="1179522" cy="1169583"/>
          <wp:effectExtent l="0" t="0" r="1905" b="0"/>
          <wp:wrapNone/>
          <wp:docPr id="2" name="Imagem 2"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01664" name="Picture 3" descr="C:\Users\rafaelrodrigues\Dropbox\camara\logo ill-05-05.jpg"/>
                  <pic:cNvPicPr>
                    <a:picLocks noChangeAspect="1" noChangeArrowheads="1"/>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rcRect l="13255" t="15635" r="31125" b="8465"/>
                  <a:stretch>
                    <a:fillRect/>
                  </a:stretch>
                </pic:blipFill>
                <pic:spPr bwMode="auto">
                  <a:xfrm>
                    <a:off x="0" y="0"/>
                    <a:ext cx="1179522" cy="1169583"/>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C47D9" w:rsidRPr="00FC47D9" w:rsidP="00FC47D9">
    <w:pPr>
      <w:pStyle w:val="Header"/>
      <w:ind w:left="1134"/>
      <w:jc w:val="right"/>
      <w:rPr>
        <w:rFonts w:ascii="Times New Roman" w:hAnsi="Times New Roman"/>
        <w:b/>
        <w:noProof/>
        <w:color w:val="5F497A" w:themeColor="accent4" w:themeShade="BF"/>
        <w:sz w:val="20"/>
        <w14:textOutline w14:w="12700">
          <w14:noFill/>
          <w14:prstDash w14:val="solid"/>
          <w14:round/>
        </w14:textOutline>
      </w:rPr>
    </w:pPr>
  </w:p>
  <w:p w:rsidR="0038288C" w:rsidRPr="004420DB" w:rsidP="0038288C">
    <w:pPr>
      <w:pStyle w:val="Header"/>
      <w:spacing w:line="276" w:lineRule="auto"/>
      <w:ind w:left="1134"/>
      <w:jc w:val="center"/>
      <w:rPr>
        <w:b/>
        <w:noProof/>
        <w:color w:val="5F497A" w:themeColor="accent4" w:themeShade="BF"/>
        <w:sz w:val="6"/>
        <w:szCs w:val="72"/>
        <w14:textOutline w14:w="12700">
          <w14:noFill/>
          <w14:prstDash w14:val="solid"/>
          <w14:round/>
        </w14:textOutline>
      </w:rPr>
    </w:pPr>
  </w:p>
  <w:p w:rsidR="0038288C" w:rsidRPr="008743E5" w:rsidP="0038288C">
    <w:pPr>
      <w:pStyle w:val="Header"/>
      <w:spacing w:line="276" w:lineRule="auto"/>
      <w:ind w:left="1134"/>
      <w:jc w:val="center"/>
      <w:rPr>
        <w:b/>
        <w:noProof/>
        <w:color w:val="5F497A" w:themeColor="accent4" w:themeShade="BF"/>
        <w:sz w:val="36"/>
        <w:szCs w:val="72"/>
        <w14:textOutline w14:w="12700">
          <w14:noFill/>
          <w14:prstDash w14:val="solid"/>
          <w14:round/>
        </w14:textOutline>
      </w:rPr>
    </w:pPr>
    <w:r w:rsidRPr="008743E5">
      <w:rPr>
        <w:b/>
        <w:noProof/>
        <w:color w:val="5F497A" w:themeColor="accent4" w:themeShade="BF"/>
        <w:sz w:val="36"/>
        <w:szCs w:val="72"/>
        <w14:textOutline w14:w="12700">
          <w14:noFill/>
          <w14:prstDash w14:val="solid"/>
          <w14:round/>
        </w14:textOutline>
      </w:rPr>
      <w:t>CÂMARA MUNICIPAL DE VALINHOS</w:t>
    </w:r>
  </w:p>
  <w:p w:rsidR="0038288C" w:rsidRPr="008743E5" w:rsidP="0038288C">
    <w:pPr>
      <w:pStyle w:val="Header"/>
      <w:ind w:left="1134"/>
      <w:jc w:val="center"/>
      <w:rPr>
        <w:b/>
        <w:noProof/>
        <w:color w:val="5F497A" w:themeColor="accent4" w:themeShade="BF"/>
        <w:sz w:val="22"/>
        <w:szCs w:val="72"/>
        <w14:textOutline w14:w="12700">
          <w14:noFill/>
          <w14:prstDash w14:val="solid"/>
          <w14:round/>
        </w14:textOutline>
      </w:rPr>
    </w:pPr>
    <w:r w:rsidRPr="008743E5">
      <w:rPr>
        <w:b/>
        <w:noProof/>
        <w:color w:val="5F497A" w:themeColor="accent4" w:themeShade="BF"/>
        <w:sz w:val="22"/>
        <w:szCs w:val="72"/>
        <w14:textOutline w14:w="12700">
          <w14:noFill/>
          <w14:prstDash w14:val="solid"/>
          <w14:round/>
        </w14:textOutline>
      </w:rPr>
      <w:t>ESTADO DE SÃO PAULO</w:t>
    </w:r>
  </w:p>
  <w:p w:rsidR="009B0EE4" w:rsidP="0038288C">
    <w:pPr>
      <w:pStyle w:val="Header"/>
      <w:rPr>
        <w:rFonts w:ascii="Times New Roman" w:hAnsi="Times New Roman"/>
        <w:b/>
        <w:sz w:val="28"/>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B0EE4" w:rsidP="009B0EE4">
    <w:pPr>
      <w:pStyle w:val="Header"/>
      <w:ind w:left="1134"/>
      <w:jc w:val="right"/>
      <w:rPr>
        <w:rFonts w:ascii="Times New Roman" w:hAnsi="Times New Roman"/>
        <w:noProof/>
        <w:sz w:val="20"/>
        <w14:textOutline w14:w="12700">
          <w14:noFill/>
          <w14:prstDash w14:val="solid"/>
          <w14:round/>
        </w14:textOutline>
      </w:rPr>
    </w:pPr>
    <w:r w:rsidRPr="00FC47D9">
      <w:rPr>
        <w:rFonts w:ascii="Times New Roman" w:hAnsi="Times New Roman"/>
        <w:noProof/>
        <w:sz w:val="20"/>
      </w:rPr>
      <w:drawing>
        <wp:anchor distT="0" distB="0" distL="114300" distR="114300" simplePos="0" relativeHeight="251661312" behindDoc="1" locked="0" layoutInCell="1" allowOverlap="1">
          <wp:simplePos x="0" y="0"/>
          <wp:positionH relativeFrom="margin">
            <wp:posOffset>535305</wp:posOffset>
          </wp:positionH>
          <wp:positionV relativeFrom="margin">
            <wp:posOffset>1551033</wp:posOffset>
          </wp:positionV>
          <wp:extent cx="4770336" cy="4760686"/>
          <wp:effectExtent l="0" t="0" r="0" b="1905"/>
          <wp:wrapNone/>
          <wp:docPr id="3" name="Imagem 3"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205791" name="Picture 4" descr="C:\Users\rafaelrodrigues\Desktop\dcghzcz-bd954014-8209-47cc-b286-8cfef43bb77f.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770336" cy="4760686"/>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47D9">
      <w:rPr>
        <w:rFonts w:ascii="Times New Roman" w:hAnsi="Times New Roman"/>
        <w:noProof/>
        <w:sz w:val="20"/>
      </w:rPr>
      <w:drawing>
        <wp:anchor distT="0" distB="0" distL="114300" distR="114300" simplePos="0" relativeHeight="251660288" behindDoc="0" locked="0" layoutInCell="1" allowOverlap="1">
          <wp:simplePos x="0" y="0"/>
          <wp:positionH relativeFrom="column">
            <wp:posOffset>-30724</wp:posOffset>
          </wp:positionH>
          <wp:positionV relativeFrom="paragraph">
            <wp:posOffset>1548</wp:posOffset>
          </wp:positionV>
          <wp:extent cx="1179522" cy="1169583"/>
          <wp:effectExtent l="0" t="0" r="1905" b="0"/>
          <wp:wrapNone/>
          <wp:docPr id="4" name="Imagem 4"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978970" name="Picture 3" descr="C:\Users\rafaelrodrigues\Dropbox\camara\logo ill-05-05.jpg"/>
                  <pic:cNvPicPr>
                    <a:picLocks noChangeAspect="1" noChangeArrowheads="1"/>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rcRect l="13255" t="15635" r="31125" b="8465"/>
                  <a:stretch>
                    <a:fillRect/>
                  </a:stretch>
                </pic:blipFill>
                <pic:spPr bwMode="auto">
                  <a:xfrm>
                    <a:off x="0" y="0"/>
                    <a:ext cx="1179522" cy="1169583"/>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B0EE4" w:rsidP="009B0EE4">
    <w:pPr>
      <w:pStyle w:val="Header"/>
      <w:ind w:left="1134"/>
      <w:jc w:val="right"/>
      <w:rPr>
        <w:rFonts w:cs="Arial"/>
        <w:noProof/>
        <w:sz w:val="18"/>
        <w:szCs w:val="18"/>
        <w14:textOutline w14:w="12700">
          <w14:noFill/>
          <w14:prstDash w14:val="solid"/>
          <w14:round/>
        </w14:textOutline>
      </w:rPr>
    </w:pPr>
  </w:p>
  <w:p w:rsidR="009B0EE4" w:rsidRPr="00FC47D9" w:rsidP="009B0EE4">
    <w:pPr>
      <w:pStyle w:val="Header"/>
      <w:ind w:left="1134"/>
      <w:jc w:val="right"/>
      <w:rPr>
        <w:rFonts w:ascii="Times New Roman" w:hAnsi="Times New Roman"/>
        <w:b/>
        <w:noProof/>
        <w:color w:val="5F497A" w:themeColor="accent4" w:themeShade="BF"/>
        <w:sz w:val="20"/>
        <w14:textOutline w14:w="12700">
          <w14:noFill/>
          <w14:prstDash w14:val="solid"/>
          <w14:round/>
        </w14:textOutline>
      </w:rPr>
    </w:pPr>
  </w:p>
  <w:p w:rsidR="009B0EE4" w:rsidRPr="004420DB" w:rsidP="009B0EE4">
    <w:pPr>
      <w:pStyle w:val="Header"/>
      <w:spacing w:line="276" w:lineRule="auto"/>
      <w:ind w:left="1134"/>
      <w:jc w:val="center"/>
      <w:rPr>
        <w:b/>
        <w:noProof/>
        <w:color w:val="5F497A" w:themeColor="accent4" w:themeShade="BF"/>
        <w:sz w:val="6"/>
        <w:szCs w:val="72"/>
        <w14:textOutline w14:w="12700">
          <w14:noFill/>
          <w14:prstDash w14:val="solid"/>
          <w14:round/>
        </w14:textOutline>
      </w:rPr>
    </w:pPr>
  </w:p>
  <w:p w:rsidR="009B0EE4" w:rsidRPr="008743E5" w:rsidP="009B0EE4">
    <w:pPr>
      <w:pStyle w:val="Header"/>
      <w:spacing w:line="276" w:lineRule="auto"/>
      <w:ind w:left="1134"/>
      <w:jc w:val="center"/>
      <w:rPr>
        <w:b/>
        <w:noProof/>
        <w:color w:val="5F497A" w:themeColor="accent4" w:themeShade="BF"/>
        <w:sz w:val="36"/>
        <w:szCs w:val="72"/>
        <w14:textOutline w14:w="12700">
          <w14:noFill/>
          <w14:prstDash w14:val="solid"/>
          <w14:round/>
        </w14:textOutline>
      </w:rPr>
    </w:pPr>
    <w:r w:rsidRPr="008743E5">
      <w:rPr>
        <w:b/>
        <w:noProof/>
        <w:color w:val="5F497A" w:themeColor="accent4" w:themeShade="BF"/>
        <w:sz w:val="36"/>
        <w:szCs w:val="72"/>
        <w14:textOutline w14:w="12700">
          <w14:noFill/>
          <w14:prstDash w14:val="solid"/>
          <w14:round/>
        </w14:textOutline>
      </w:rPr>
      <w:t>CÂMARA MUNICIPAL DE VALINHOS</w:t>
    </w:r>
  </w:p>
  <w:p w:rsidR="009B0EE4" w:rsidRPr="008743E5" w:rsidP="009B0EE4">
    <w:pPr>
      <w:pStyle w:val="Header"/>
      <w:ind w:left="1134"/>
      <w:jc w:val="center"/>
      <w:rPr>
        <w:b/>
        <w:noProof/>
        <w:color w:val="5F497A" w:themeColor="accent4" w:themeShade="BF"/>
        <w:sz w:val="22"/>
        <w:szCs w:val="72"/>
        <w14:textOutline w14:w="12700">
          <w14:noFill/>
          <w14:prstDash w14:val="solid"/>
          <w14:round/>
        </w14:textOutline>
      </w:rPr>
    </w:pPr>
    <w:r w:rsidRPr="008743E5">
      <w:rPr>
        <w:b/>
        <w:noProof/>
        <w:color w:val="5F497A" w:themeColor="accent4" w:themeShade="BF"/>
        <w:sz w:val="22"/>
        <w:szCs w:val="72"/>
        <w14:textOutline w14:w="12700">
          <w14:noFill/>
          <w14:prstDash w14:val="solid"/>
          <w14:round/>
        </w14:textOutline>
      </w:rPr>
      <w:t>ESTADO DE SÃO PAULO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A826DE3"/>
    <w:multiLevelType w:val="hybridMultilevel"/>
    <w:tmpl w:val="E6828924"/>
    <w:lvl w:ilvl="0">
      <w:start w:val="1"/>
      <w:numFmt w:val="decimal"/>
      <w:lvlText w:val="%1."/>
      <w:lvlJc w:val="left"/>
      <w:pPr>
        <w:ind w:left="1571" w:hanging="360"/>
      </w:pPr>
    </w:lvl>
    <w:lvl w:ilvl="1" w:tentative="1">
      <w:start w:val="1"/>
      <w:numFmt w:val="lowerLetter"/>
      <w:lvlText w:val="%2."/>
      <w:lvlJc w:val="left"/>
      <w:pPr>
        <w:ind w:left="2291" w:hanging="360"/>
      </w:pPr>
    </w:lvl>
    <w:lvl w:ilvl="2" w:tentative="1">
      <w:start w:val="1"/>
      <w:numFmt w:val="lowerRoman"/>
      <w:lvlText w:val="%3."/>
      <w:lvlJc w:val="right"/>
      <w:pPr>
        <w:ind w:left="3011" w:hanging="180"/>
      </w:pPr>
    </w:lvl>
    <w:lvl w:ilvl="3" w:tentative="1">
      <w:start w:val="1"/>
      <w:numFmt w:val="decimal"/>
      <w:lvlText w:val="%4."/>
      <w:lvlJc w:val="left"/>
      <w:pPr>
        <w:ind w:left="3731" w:hanging="360"/>
      </w:pPr>
    </w:lvl>
    <w:lvl w:ilvl="4" w:tentative="1">
      <w:start w:val="1"/>
      <w:numFmt w:val="lowerLetter"/>
      <w:lvlText w:val="%5."/>
      <w:lvlJc w:val="left"/>
      <w:pPr>
        <w:ind w:left="4451" w:hanging="360"/>
      </w:pPr>
    </w:lvl>
    <w:lvl w:ilvl="5" w:tentative="1">
      <w:start w:val="1"/>
      <w:numFmt w:val="lowerRoman"/>
      <w:lvlText w:val="%6."/>
      <w:lvlJc w:val="right"/>
      <w:pPr>
        <w:ind w:left="5171" w:hanging="180"/>
      </w:pPr>
    </w:lvl>
    <w:lvl w:ilvl="6" w:tentative="1">
      <w:start w:val="1"/>
      <w:numFmt w:val="decimal"/>
      <w:lvlText w:val="%7."/>
      <w:lvlJc w:val="left"/>
      <w:pPr>
        <w:ind w:left="5891" w:hanging="360"/>
      </w:pPr>
    </w:lvl>
    <w:lvl w:ilvl="7" w:tentative="1">
      <w:start w:val="1"/>
      <w:numFmt w:val="lowerLetter"/>
      <w:lvlText w:val="%8."/>
      <w:lvlJc w:val="left"/>
      <w:pPr>
        <w:ind w:left="6611" w:hanging="360"/>
      </w:pPr>
    </w:lvl>
    <w:lvl w:ilvl="8" w:tentative="1">
      <w:start w:val="1"/>
      <w:numFmt w:val="lowerRoman"/>
      <w:lvlText w:val="%9."/>
      <w:lvlJc w:val="right"/>
      <w:pPr>
        <w:ind w:left="733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8CC"/>
    <w:rsid w:val="00023210"/>
    <w:rsid w:val="0002388A"/>
    <w:rsid w:val="00030D7D"/>
    <w:rsid w:val="00063F44"/>
    <w:rsid w:val="000947BA"/>
    <w:rsid w:val="000E7B83"/>
    <w:rsid w:val="000F7939"/>
    <w:rsid w:val="00103936"/>
    <w:rsid w:val="0011257F"/>
    <w:rsid w:val="001471E9"/>
    <w:rsid w:val="00154E6D"/>
    <w:rsid w:val="00166047"/>
    <w:rsid w:val="00187E11"/>
    <w:rsid w:val="001965D1"/>
    <w:rsid w:val="001A68A6"/>
    <w:rsid w:val="00203FA5"/>
    <w:rsid w:val="00227418"/>
    <w:rsid w:val="002406D6"/>
    <w:rsid w:val="00265627"/>
    <w:rsid w:val="00282269"/>
    <w:rsid w:val="0028365D"/>
    <w:rsid w:val="00286E70"/>
    <w:rsid w:val="002B58CC"/>
    <w:rsid w:val="002F0A6A"/>
    <w:rsid w:val="003141C0"/>
    <w:rsid w:val="00375D3F"/>
    <w:rsid w:val="00381B56"/>
    <w:rsid w:val="0038288C"/>
    <w:rsid w:val="00391370"/>
    <w:rsid w:val="003B25A7"/>
    <w:rsid w:val="003B5A44"/>
    <w:rsid w:val="003C7C4A"/>
    <w:rsid w:val="003F78E3"/>
    <w:rsid w:val="00404FFF"/>
    <w:rsid w:val="0041521B"/>
    <w:rsid w:val="004420DB"/>
    <w:rsid w:val="00471885"/>
    <w:rsid w:val="00486790"/>
    <w:rsid w:val="00496A3E"/>
    <w:rsid w:val="00496BBB"/>
    <w:rsid w:val="004E3236"/>
    <w:rsid w:val="004E493C"/>
    <w:rsid w:val="00520AA5"/>
    <w:rsid w:val="00534972"/>
    <w:rsid w:val="00540457"/>
    <w:rsid w:val="005408CC"/>
    <w:rsid w:val="0055285E"/>
    <w:rsid w:val="005C7621"/>
    <w:rsid w:val="005F6B61"/>
    <w:rsid w:val="00641FA8"/>
    <w:rsid w:val="006610EE"/>
    <w:rsid w:val="006650D5"/>
    <w:rsid w:val="006816B4"/>
    <w:rsid w:val="006D3BD6"/>
    <w:rsid w:val="006E514D"/>
    <w:rsid w:val="006F1A0F"/>
    <w:rsid w:val="00715594"/>
    <w:rsid w:val="00720AA7"/>
    <w:rsid w:val="007229D9"/>
    <w:rsid w:val="007511D9"/>
    <w:rsid w:val="00755D11"/>
    <w:rsid w:val="007815F5"/>
    <w:rsid w:val="00782D46"/>
    <w:rsid w:val="007E468E"/>
    <w:rsid w:val="007F0968"/>
    <w:rsid w:val="007F3197"/>
    <w:rsid w:val="00802901"/>
    <w:rsid w:val="00812741"/>
    <w:rsid w:val="008338A4"/>
    <w:rsid w:val="008444BE"/>
    <w:rsid w:val="00853C4A"/>
    <w:rsid w:val="0086159D"/>
    <w:rsid w:val="00866CF2"/>
    <w:rsid w:val="00871782"/>
    <w:rsid w:val="008743E5"/>
    <w:rsid w:val="00891489"/>
    <w:rsid w:val="008A04F8"/>
    <w:rsid w:val="008C13C4"/>
    <w:rsid w:val="008C2877"/>
    <w:rsid w:val="008C39E7"/>
    <w:rsid w:val="008D01FA"/>
    <w:rsid w:val="008D641C"/>
    <w:rsid w:val="008D7E34"/>
    <w:rsid w:val="009019DC"/>
    <w:rsid w:val="00907CC9"/>
    <w:rsid w:val="00912224"/>
    <w:rsid w:val="0092098C"/>
    <w:rsid w:val="009426A2"/>
    <w:rsid w:val="00946FCF"/>
    <w:rsid w:val="009643C3"/>
    <w:rsid w:val="00985C1E"/>
    <w:rsid w:val="009B0EE4"/>
    <w:rsid w:val="009B1725"/>
    <w:rsid w:val="009C1E5B"/>
    <w:rsid w:val="009F3B90"/>
    <w:rsid w:val="009F791B"/>
    <w:rsid w:val="00A04FF1"/>
    <w:rsid w:val="00A05274"/>
    <w:rsid w:val="00A2090C"/>
    <w:rsid w:val="00A72CDF"/>
    <w:rsid w:val="00A7555C"/>
    <w:rsid w:val="00A762CA"/>
    <w:rsid w:val="00A92067"/>
    <w:rsid w:val="00A937ED"/>
    <w:rsid w:val="00AD50A4"/>
    <w:rsid w:val="00AE69C4"/>
    <w:rsid w:val="00AF7431"/>
    <w:rsid w:val="00B15A41"/>
    <w:rsid w:val="00B7186E"/>
    <w:rsid w:val="00B75386"/>
    <w:rsid w:val="00BA2827"/>
    <w:rsid w:val="00C05CEE"/>
    <w:rsid w:val="00C121B6"/>
    <w:rsid w:val="00C1360D"/>
    <w:rsid w:val="00C167FC"/>
    <w:rsid w:val="00C70E55"/>
    <w:rsid w:val="00C71006"/>
    <w:rsid w:val="00C83747"/>
    <w:rsid w:val="00C92CC7"/>
    <w:rsid w:val="00C97C54"/>
    <w:rsid w:val="00CB5727"/>
    <w:rsid w:val="00CD5241"/>
    <w:rsid w:val="00CE42E0"/>
    <w:rsid w:val="00CE5346"/>
    <w:rsid w:val="00CF3EAC"/>
    <w:rsid w:val="00D24FF6"/>
    <w:rsid w:val="00D25804"/>
    <w:rsid w:val="00D5240E"/>
    <w:rsid w:val="00D56A58"/>
    <w:rsid w:val="00D75C75"/>
    <w:rsid w:val="00DB4810"/>
    <w:rsid w:val="00DF3AB9"/>
    <w:rsid w:val="00E16062"/>
    <w:rsid w:val="00E205BF"/>
    <w:rsid w:val="00E37567"/>
    <w:rsid w:val="00E9372C"/>
    <w:rsid w:val="00EA3F58"/>
    <w:rsid w:val="00EB37BA"/>
    <w:rsid w:val="00EE57D7"/>
    <w:rsid w:val="00F058AD"/>
    <w:rsid w:val="00F16789"/>
    <w:rsid w:val="00F31585"/>
    <w:rsid w:val="00F3735D"/>
    <w:rsid w:val="00F673B3"/>
    <w:rsid w:val="00F71AB2"/>
    <w:rsid w:val="00F76EAB"/>
    <w:rsid w:val="00F956A1"/>
    <w:rsid w:val="00FB29E2"/>
    <w:rsid w:val="00FB4D9A"/>
    <w:rsid w:val="00FC47D9"/>
    <w:rsid w:val="00FE39C3"/>
    <w:rsid w:val="00FF2F93"/>
    <w:rsid w:val="00FF6BD8"/>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DefaultParagraphFont"/>
    <w:link w:val="Header"/>
    <w:uiPriority w:val="99"/>
    <w:rsid w:val="00203FA5"/>
    <w:rPr>
      <w:rFonts w:ascii="Arial" w:eastAsia="Times New Roman" w:hAnsi="Arial"/>
      <w:szCs w:val="20"/>
      <w:lang w:eastAsia="pt-BR"/>
    </w:rPr>
  </w:style>
  <w:style w:type="paragraph" w:styleId="Footer">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DefaultParagraphFont"/>
    <w:link w:val="Footer"/>
    <w:uiPriority w:val="99"/>
    <w:rsid w:val="00203FA5"/>
    <w:rPr>
      <w:rFonts w:ascii="Arial" w:eastAsia="Times New Roman" w:hAnsi="Arial"/>
      <w:szCs w:val="20"/>
      <w:lang w:eastAsia="pt-BR"/>
    </w:rPr>
  </w:style>
  <w:style w:type="paragraph" w:styleId="BalloonText">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DefaultParagraphFont"/>
    <w:link w:val="BalloonText"/>
    <w:uiPriority w:val="99"/>
    <w:semiHidden/>
    <w:rsid w:val="00203FA5"/>
    <w:rPr>
      <w:rFonts w:ascii="Tahoma" w:eastAsia="Times New Roman" w:hAnsi="Tahoma" w:cs="Tahoma"/>
      <w:sz w:val="16"/>
      <w:szCs w:val="16"/>
      <w:lang w:eastAsia="pt-BR"/>
    </w:rPr>
  </w:style>
  <w:style w:type="character" w:styleId="PlaceholderText">
    <w:name w:val="Placeholder Text"/>
    <w:basedOn w:val="DefaultParagraphFont"/>
    <w:uiPriority w:val="99"/>
    <w:semiHidden/>
    <w:rsid w:val="008338A4"/>
    <w:rPr>
      <w:color w:val="808080"/>
    </w:rPr>
  </w:style>
  <w:style w:type="paragraph" w:styleId="ListParagraph">
    <w:name w:val="List Paragraph"/>
    <w:basedOn w:val="Normal"/>
    <w:uiPriority w:val="34"/>
    <w:qFormat/>
    <w:rsid w:val="00E160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jpeg"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7</Pages>
  <Words>1568</Words>
  <Characters>8473</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Otavio Augusto Scalon</dc:creator>
  <cp:lastModifiedBy>Ivone Aparecida Frizarin Alves</cp:lastModifiedBy>
  <cp:revision>8</cp:revision>
  <dcterms:created xsi:type="dcterms:W3CDTF">2022-02-21T21:06:00Z</dcterms:created>
  <dcterms:modified xsi:type="dcterms:W3CDTF">2022-05-18T21:09:00Z</dcterms:modified>
</cp:coreProperties>
</file>