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F23DDB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4A1DFE">
        <w:rPr>
          <w:rFonts w:asciiTheme="minorHAnsi" w:hAnsiTheme="minorHAnsi" w:cstheme="minorHAnsi"/>
          <w:b/>
          <w:color w:val="auto"/>
        </w:rPr>
        <w:t xml:space="preserve">Parecer </w:t>
      </w:r>
      <w:r w:rsidRPr="00F23DDB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="00F23DDB">
        <w:rPr>
          <w:rFonts w:eastAsia="Times New Roman" w:asciiTheme="minorHAnsi" w:hAnsiTheme="minorHAnsi" w:cstheme="minorHAnsi"/>
          <w:b/>
          <w:color w:val="auto"/>
          <w:szCs w:val="20"/>
        </w:rPr>
        <w:t>184</w:t>
      </w:r>
      <w:r w:rsidRPr="00F23DDB">
        <w:rPr>
          <w:rFonts w:eastAsia="Times New Roman" w:asciiTheme="minorHAnsi" w:hAnsiTheme="minorHAnsi" w:cstheme="minorHAnsi"/>
          <w:b/>
          <w:color w:val="auto"/>
          <w:szCs w:val="20"/>
        </w:rPr>
        <w:t>/2022.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F23DDB">
        <w:rPr>
          <w:rFonts w:asciiTheme="minorHAnsi" w:hAnsiTheme="minorHAnsi" w:cstheme="minorHAnsi"/>
          <w:b/>
        </w:rPr>
        <w:t>111</w:t>
      </w:r>
      <w:r w:rsidRPr="00E42A2E">
        <w:rPr>
          <w:rFonts w:asciiTheme="minorHAnsi" w:hAnsiTheme="minorHAnsi" w:cstheme="minorHAnsi"/>
          <w:b/>
        </w:rPr>
        <w:t xml:space="preserve">/2022 – Autoria do Poder Executivo – Dispõe sobre autorização para a abertura de crédito adicional suplementar, até o valor de </w:t>
      </w:r>
      <w:r w:rsidRPr="00F23DDB" w:rsidR="00F23DDB">
        <w:rPr>
          <w:rFonts w:asciiTheme="minorHAnsi" w:hAnsiTheme="minorHAnsi" w:cstheme="minorHAnsi"/>
          <w:b/>
        </w:rPr>
        <w:t>R$ 3.250.000,00</w:t>
      </w:r>
      <w:r w:rsidRPr="00E42A2E">
        <w:rPr>
          <w:rFonts w:asciiTheme="minorHAnsi" w:hAnsiTheme="minorHAnsi" w:cstheme="minorHAnsi"/>
          <w:b/>
        </w:rPr>
        <w:t xml:space="preserve">- Mensagem nº </w:t>
      </w:r>
      <w:r>
        <w:rPr>
          <w:rFonts w:asciiTheme="minorHAnsi" w:hAnsiTheme="minorHAnsi" w:cstheme="minorHAnsi"/>
          <w:b/>
        </w:rPr>
        <w:t>0</w:t>
      </w:r>
      <w:r w:rsidR="00DD6D04">
        <w:rPr>
          <w:rFonts w:asciiTheme="minorHAnsi" w:hAnsiTheme="minorHAnsi" w:cstheme="minorHAnsi"/>
          <w:b/>
        </w:rPr>
        <w:t>3</w:t>
      </w:r>
      <w:r w:rsidR="00F23DDB">
        <w:rPr>
          <w:rFonts w:asciiTheme="minorHAnsi" w:hAnsiTheme="minorHAnsi" w:cstheme="minorHAnsi"/>
          <w:b/>
        </w:rPr>
        <w:t>9</w:t>
      </w:r>
      <w:r w:rsidRPr="00E42A2E">
        <w:rPr>
          <w:rFonts w:asciiTheme="minorHAnsi" w:hAnsiTheme="minorHAnsi" w:cstheme="minorHAnsi"/>
          <w:b/>
        </w:rPr>
        <w:t>/2022.</w:t>
      </w:r>
    </w:p>
    <w:p w:rsidR="005D54F2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5D54F2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A868C0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suplementar, até o valor de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3DDB" w:rsidR="00F23DDB">
        <w:rPr>
          <w:rFonts w:asciiTheme="minorHAnsi" w:hAnsiTheme="minorHAnsi" w:cstheme="minorHAnsi"/>
          <w:i/>
          <w:color w:val="auto"/>
        </w:rPr>
        <w:t>R$ 3.250.000,00</w:t>
      </w:r>
      <w:r w:rsidRPr="00E42A2E">
        <w:rPr>
          <w:rFonts w:asciiTheme="minorHAnsi" w:hAnsiTheme="minorHAnsi" w:cstheme="minorHAnsi"/>
          <w:i/>
          <w:color w:val="auto"/>
        </w:rPr>
        <w:t>”,</w:t>
      </w:r>
      <w:r w:rsidRPr="00E42A2E">
        <w:rPr>
          <w:rFonts w:asciiTheme="minorHAnsi" w:hAnsiTheme="minorHAnsi" w:cstheme="minorHAnsi"/>
          <w:color w:val="auto"/>
        </w:rPr>
        <w:t xml:space="preserve"> destinado à suplementar a dotação orçamentária da Secretaria </w:t>
      </w:r>
      <w:r w:rsidR="00B97636">
        <w:rPr>
          <w:rFonts w:asciiTheme="minorHAnsi" w:hAnsiTheme="minorHAnsi" w:cstheme="minorHAnsi"/>
          <w:color w:val="auto"/>
        </w:rPr>
        <w:t>da Educação para</w:t>
      </w:r>
      <w:r w:rsidR="00B97636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="00F23DDB">
        <w:rPr>
          <w:rFonts w:asciiTheme="minorHAnsi" w:hAnsiTheme="minorHAnsi" w:cstheme="minorHAnsi"/>
          <w:color w:val="auto"/>
        </w:rPr>
        <w:t>aquisição de gás e alimentos</w:t>
      </w:r>
      <w:r w:rsidRPr="00B97636" w:rsidR="00B97636">
        <w:rPr>
          <w:rFonts w:asciiTheme="minorHAnsi" w:hAnsiTheme="minorHAnsi" w:cstheme="minorHAnsi"/>
          <w:color w:val="auto"/>
        </w:rPr>
        <w:t>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 xml:space="preserve">Dada </w:t>
      </w:r>
      <w:r w:rsidRPr="00E42A2E">
        <w:rPr>
          <w:rFonts w:asciiTheme="minorHAnsi" w:hAnsiTheme="minorHAnsi" w:cstheme="minorHAnsi"/>
          <w:color w:val="auto"/>
          <w:u w:val="single"/>
        </w:rPr>
        <w:t>a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solicitação de parecer jurídico, em análise estritamente jurídica, não incidindo sobre quaisquer aspectos financeiros, orçamentários e contábeis, temos o que segue.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</w:p>
    <w:p w:rsidR="005D54F2" w:rsidP="005D54F2">
      <w:pPr>
        <w:tabs>
          <w:tab w:val="left" w:pos="1701"/>
        </w:tabs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Outrossim</w:t>
      </w:r>
      <w:r w:rsidRPr="00E42A2E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</w:p>
    <w:p w:rsidR="005D54F2" w:rsidRPr="00E42A2E" w:rsidP="005D54F2">
      <w:pPr>
        <w:pStyle w:val="Default"/>
        <w:spacing w:before="240"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Nesse sentido é o entendimento do Supremo Tribunal Federal: </w:t>
      </w:r>
    </w:p>
    <w:p w:rsidR="005D54F2" w:rsidRPr="00E42A2E" w:rsidP="005D54F2">
      <w:pPr>
        <w:pStyle w:val="Default"/>
        <w:spacing w:after="240" w:line="300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asciiTheme="minorHAnsi" w:hAnsiTheme="minorHAnsi" w:cstheme="minorHAnsi"/>
          <w:i/>
          <w:color w:val="auto"/>
        </w:rPr>
        <w:t>“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 xml:space="preserve">técnico-jurídica, que orientará o administrador na tomada da decisão, na prática do ato administrativo, que se constitui na execução 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E42A2E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5D54F2" w:rsidP="005D54F2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5D54F2" w:rsidRPr="00E45883" w:rsidP="005D54F2">
      <w:pPr>
        <w:autoSpaceDE w:val="0"/>
        <w:autoSpaceDN w:val="0"/>
        <w:adjustRightInd w:val="0"/>
        <w:spacing w:line="360" w:lineRule="auto"/>
        <w:ind w:firstLine="1985"/>
        <w:jc w:val="both"/>
        <w:rPr>
          <w:rFonts w:eastAsia="Calibri" w:asciiTheme="minorHAnsi" w:hAnsiTheme="minorHAnsi" w:cstheme="minorHAnsi"/>
          <w:szCs w:val="24"/>
        </w:rPr>
      </w:pPr>
      <w:r w:rsidRPr="00E45883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F23DDB">
        <w:rPr>
          <w:rFonts w:eastAsia="Calibri" w:asciiTheme="minorHAnsi" w:hAnsiTheme="minorHAnsi" w:cstheme="minorHAnsi"/>
          <w:b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 w:hanging="1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Art. 115. O Prefeito poderá solicitar regime de urgência para projeto de </w:t>
      </w:r>
      <w:r w:rsidRPr="00E45883">
        <w:rPr>
          <w:rFonts w:eastAsia="Calibri" w:asciiTheme="minorHAnsi" w:hAnsiTheme="minorHAnsi" w:cstheme="minorHAnsi"/>
          <w:i/>
          <w:sz w:val="22"/>
          <w:szCs w:val="22"/>
        </w:rPr>
        <w:t>sua iniciativa considerado de relevante interesse público, devendo a Câmara</w:t>
      </w: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 apreciá-lo dentro do prazo de trinta dias.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5D54F2" w:rsidRPr="00E45883" w:rsidP="005D54F2">
      <w:pPr>
        <w:autoSpaceDE w:val="0"/>
        <w:autoSpaceDN w:val="0"/>
        <w:adjustRightInd w:val="0"/>
        <w:spacing w:after="12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E45883">
        <w:rPr>
          <w:rFonts w:eastAsia="Calibri" w:asciiTheme="minorHAnsi" w:hAnsiTheme="minorHAnsi" w:cstheme="minorHAnsi"/>
          <w:i/>
          <w:sz w:val="22"/>
          <w:szCs w:val="22"/>
        </w:rPr>
        <w:t>§ 6º Aos projetos de Codificação e Estatuto, artigos 121 e 122, não se aplicam o disposto no caput do artigo.</w:t>
      </w:r>
    </w:p>
    <w:p w:rsidR="005D54F2" w:rsidRPr="00E45883" w:rsidP="005D54F2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E45883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>
        <w:rPr>
          <w:rFonts w:eastAsia="Calibri" w:asciiTheme="minorHAnsi" w:hAnsiTheme="minorHAnsi" w:cstheme="minorHAnsi"/>
          <w:szCs w:val="24"/>
        </w:rPr>
        <w:t xml:space="preserve"> </w:t>
      </w:r>
      <w:r>
        <w:rPr>
          <w:rFonts w:eastAsia="Calibri" w:asciiTheme="minorHAnsi" w:hAnsiTheme="minorHAnsi" w:cstheme="minorHAnsi"/>
          <w:szCs w:val="24"/>
        </w:rPr>
        <w:tab/>
      </w: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DD6D04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as fundações e as empresas em que o Município detenha a maioria do capital social com direito a voto, especialmente: </w:t>
      </w: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DD6D04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DD6D04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DD6D04" w:rsidRPr="00DD6D04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bookmarkStart w:id="2" w:name="art41ii"/>
      <w:bookmarkEnd w:id="2"/>
      <w:r w:rsidRPr="00E42A2E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I - o superávit financeiro apurado em balanço patrimonial do exercício anterior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;</w:t>
      </w:r>
      <w:bookmarkStart w:id="4" w:name="art43§1ii"/>
      <w:bookmarkEnd w:id="4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6" w:name="art43§1iv"/>
      <w:bookmarkEnd w:id="6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§ 2º Entende-se por superávit financeiro a diferença positiva entre o ativo financeiro e o passivo financeiro, conjugando-se, ainda, os saldos dos créditos adicionais transferidos e as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4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5D54F2" w:rsidRPr="00E42A2E" w:rsidP="005D54F2">
      <w:pPr>
        <w:tabs>
          <w:tab w:val="left" w:pos="3420"/>
        </w:tabs>
        <w:spacing w:after="12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4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5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5D54F2" w:rsidP="005D54F2">
      <w:pPr>
        <w:tabs>
          <w:tab w:val="left" w:pos="3420"/>
        </w:tabs>
        <w:spacing w:after="240" w:line="30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5D54F2" w:rsidRPr="002F1EAD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 w:val="4"/>
          <w:szCs w:val="4"/>
          <w:u w:val="single"/>
        </w:rPr>
      </w:pP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recursos provenientes do </w:t>
      </w:r>
      <w:r w:rsidRPr="004627C3">
        <w:rPr>
          <w:rFonts w:asciiTheme="minorHAnsi" w:hAnsiTheme="minorHAnsi" w:cstheme="minorHAnsi"/>
          <w:b/>
          <w:szCs w:val="24"/>
          <w:u w:val="single"/>
        </w:rPr>
        <w:t>superávit financeiro apurado no balanço patrimonial do exercício de 2021,</w:t>
      </w:r>
      <w:r w:rsidRPr="00E42A2E">
        <w:rPr>
          <w:rFonts w:asciiTheme="minorHAnsi" w:hAnsiTheme="minorHAnsi" w:cstheme="minorHAnsi"/>
          <w:szCs w:val="24"/>
          <w:u w:val="single"/>
        </w:rPr>
        <w:t xml:space="preserve"> com fundamento no artigo 43, § 1°, inciso I, da Lei Federal n° 4.320, de 17 de março de 1964.</w:t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Quanto ao superávit financeiro temos que: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São recursos financeiros que não se encontravam comprometidos com pagamentos futuros no encerramento do exercício fiscal.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Essa sobra de caixa ocorre, por exemplo, pelo cancelamento de </w:t>
      </w:r>
      <w:hyperlink r:id="rId6" w:tgtFrame="_blank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restos a pagar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 xml:space="preserve"> ou por superávit orçamentário. De acordo com a Lei 4.320/64, os saldos de caixa não comprometidos ao final de cada exercício podem ser utilizados como fonte de financiamento para a abertura de créditos orçamentários adicionais no exercício seguinte. </w:t>
      </w: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A apuração do superávit financeiro é feita pelo confronto entre os totais do ativo financeiro e do passivo financeiro, constante do balanço patrimonial do exercício anterior.</w:t>
      </w:r>
    </w:p>
    <w:p w:rsidR="005D54F2" w:rsidRPr="00E42A2E" w:rsidP="005D54F2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Link: </w:t>
      </w:r>
      <w:hyperlink r:id="rId7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https://www.camara.leg.br/noticias/127899-superavit-financeiro/</w:t>
        </w:r>
      </w:hyperlink>
    </w:p>
    <w:p w:rsidR="005D54F2" w:rsidRPr="00774A87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b/>
          <w:u w:val="single"/>
        </w:rPr>
      </w:pPr>
      <w:r w:rsidRPr="00774A87">
        <w:rPr>
          <w:rFonts w:asciiTheme="minorHAnsi" w:hAnsiTheme="minorHAnsi" w:cstheme="minorHAnsi"/>
          <w:b/>
          <w:u w:val="single"/>
        </w:rPr>
        <w:t>No entanto, como no caso em apreço o Projeto não veio acompanhado do balanço patrimonial, sugerimos caso entendam necessário, requerer o demonstrativo do balanço patrimonial junto ao Executivo a fim comprovar a justificativa técnica para a suplementação.</w:t>
      </w: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III - especificação detalhada e comprovada acerca do superávit financeiro, quando houver;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E42A2E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Neste aspecto, insta salientar que não consta do projeto a comprovação do superávit financeiro de que trata a legislação local supracitada.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RPr="00E42A2E" w:rsidP="005D54F2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jurídico, a proposta reúne condições de constitucionalidade, </w:t>
      </w:r>
      <w:r>
        <w:rPr>
          <w:rFonts w:asciiTheme="minorHAnsi" w:hAnsiTheme="minorHAnsi" w:cstheme="minorHAnsi"/>
        </w:rPr>
        <w:t>todavia</w:t>
      </w:r>
      <w:r w:rsidRPr="00E42A2E">
        <w:rPr>
          <w:rFonts w:asciiTheme="minorHAnsi" w:hAnsiTheme="minorHAnsi" w:cstheme="minorHAnsi"/>
        </w:rPr>
        <w:t>, quanto à legalidade atentamos para a necessidade de comprovação do superávit financeiro, consoante fundamento</w:t>
      </w:r>
      <w:r>
        <w:rPr>
          <w:rFonts w:asciiTheme="minorHAnsi" w:hAnsiTheme="minorHAnsi" w:cstheme="minorHAnsi"/>
        </w:rPr>
        <w:t>s</w:t>
      </w:r>
      <w:r w:rsidRPr="00E42A2E">
        <w:rPr>
          <w:rFonts w:asciiTheme="minorHAnsi" w:hAnsiTheme="minorHAnsi" w:cstheme="minorHAnsi"/>
        </w:rPr>
        <w:t xml:space="preserve"> articulado</w:t>
      </w:r>
      <w:r>
        <w:rPr>
          <w:rFonts w:asciiTheme="minorHAnsi" w:hAnsiTheme="minorHAnsi" w:cstheme="minorHAnsi"/>
        </w:rPr>
        <w:t>s</w:t>
      </w:r>
      <w:r w:rsidRPr="000256DE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</w:rPr>
        <w:t>acima. 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 xml:space="preserve">Procuradoria, </w:t>
      </w:r>
      <w:r w:rsidR="00F23DDB">
        <w:rPr>
          <w:rFonts w:asciiTheme="minorHAnsi" w:hAnsiTheme="minorHAnsi" w:cstheme="minorHAnsi"/>
          <w:szCs w:val="24"/>
        </w:rPr>
        <w:t>18</w:t>
      </w:r>
      <w:r w:rsidRPr="00E42A2E">
        <w:rPr>
          <w:rFonts w:asciiTheme="minorHAnsi" w:hAnsiTheme="minorHAnsi" w:cstheme="minorHAnsi"/>
          <w:szCs w:val="24"/>
        </w:rPr>
        <w:t xml:space="preserve"> de </w:t>
      </w:r>
      <w:r w:rsidR="00DD6D04">
        <w:rPr>
          <w:rFonts w:asciiTheme="minorHAnsi" w:hAnsiTheme="minorHAnsi" w:cstheme="minorHAnsi"/>
          <w:szCs w:val="24"/>
        </w:rPr>
        <w:t>maio</w:t>
      </w:r>
      <w:r w:rsidRPr="00E42A2E">
        <w:rPr>
          <w:rFonts w:asciiTheme="minorHAnsi" w:hAnsiTheme="minorHAnsi" w:cstheme="minorHAnsi"/>
          <w:szCs w:val="24"/>
        </w:rPr>
        <w:t xml:space="preserve"> de 2022.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10" w:name="_GoBack"/>
      <w:bookmarkEnd w:id="10"/>
    </w:p>
    <w:p w:rsidR="005D54F2" w:rsidRPr="00E42A2E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4F2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Procuradora – OAB/SP 308.298</w:t>
      </w:r>
    </w:p>
    <w:p w:rsidR="005D54F2" w:rsidRPr="004627C3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p w:rsidR="00387C85"/>
    <w:sectPr w:rsidSect="005D54F2">
      <w:headerReference w:type="default" r:id="rId8"/>
      <w:footerReference w:type="default" r:id="rId9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871E56" w:rsidP="003F29E8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871E56" w:rsidP="00305AB4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871E56" w:rsidP="00305AB4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871E56" w:rsidP="00305AB4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3DD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3DD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E56" w:rsidP="00305AB4">
    <w:pPr>
      <w:pStyle w:val="Header"/>
      <w:jc w:val="center"/>
      <w:rPr>
        <w:b/>
        <w:sz w:val="26"/>
        <w:lang w:val="pt-PT"/>
      </w:rPr>
    </w:pPr>
  </w:p>
  <w:p w:rsidR="00871E56" w:rsidP="00305AB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E56" w:rsidP="00305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11100567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610831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439619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71E56" w:rsidP="00305AB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547855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145105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71E56" w:rsidP="00305AB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71E56" w:rsidP="00305AB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71E56" w:rsidP="00305AB4">
    <w:pPr>
      <w:pStyle w:val="Header"/>
    </w:pPr>
  </w:p>
  <w:p w:rsidR="00871E56" w:rsidP="00305AB4">
    <w:pPr>
      <w:pStyle w:val="Header"/>
    </w:pPr>
  </w:p>
  <w:p w:rsidR="00871E56" w:rsidRPr="00824829" w:rsidP="006D7024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256DE"/>
    <w:rsid w:val="002F1EAD"/>
    <w:rsid w:val="00305AB4"/>
    <w:rsid w:val="00387C85"/>
    <w:rsid w:val="003F29E8"/>
    <w:rsid w:val="004627C3"/>
    <w:rsid w:val="004A1DFE"/>
    <w:rsid w:val="005D54F2"/>
    <w:rsid w:val="006D7024"/>
    <w:rsid w:val="00770578"/>
    <w:rsid w:val="00774A87"/>
    <w:rsid w:val="007B4D1C"/>
    <w:rsid w:val="007B54FC"/>
    <w:rsid w:val="00824829"/>
    <w:rsid w:val="00871E56"/>
    <w:rsid w:val="00916CF0"/>
    <w:rsid w:val="00A868C0"/>
    <w:rsid w:val="00B97636"/>
    <w:rsid w:val="00D06A92"/>
    <w:rsid w:val="00DD6D04"/>
    <w:rsid w:val="00E42A2E"/>
    <w:rsid w:val="00E45883"/>
    <w:rsid w:val="00F23DDB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planalto.gov.br/ccivil_03/leis/l4320.htm" TargetMode="External" /><Relationship Id="rId5" Type="http://schemas.openxmlformats.org/officeDocument/2006/relationships/hyperlink" Target="http://www.planalto.gov.br/ccivil_03/leis/1970-1979/L6343.htm" TargetMode="External" /><Relationship Id="rId6" Type="http://schemas.openxmlformats.org/officeDocument/2006/relationships/hyperlink" Target="http://www2.camara.gov.br/agencia/noticias/70112.html" TargetMode="External" /><Relationship Id="rId7" Type="http://schemas.openxmlformats.org/officeDocument/2006/relationships/hyperlink" Target="https://www.camara.leg.br/noticias/127899-superavit-financeiro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1890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2022-05-18T19:18:00Z</dcterms:created>
  <dcterms:modified xsi:type="dcterms:W3CDTF">2022-05-18T19:23:00Z</dcterms:modified>
</cp:coreProperties>
</file>