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FF197E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F197E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FF197E" w:rsidR="00FF197E">
        <w:rPr>
          <w:rFonts w:asciiTheme="minorHAnsi" w:hAnsiTheme="minorHAnsi" w:cstheme="minorHAnsi"/>
          <w:b/>
          <w:color w:val="auto"/>
        </w:rPr>
        <w:t>1</w:t>
      </w:r>
      <w:r w:rsidR="00A3393A">
        <w:rPr>
          <w:rFonts w:asciiTheme="minorHAnsi" w:hAnsiTheme="minorHAnsi" w:cstheme="minorHAnsi"/>
          <w:b/>
          <w:color w:val="auto"/>
        </w:rPr>
        <w:t>81</w:t>
      </w:r>
      <w:r w:rsidRPr="00FF197E">
        <w:rPr>
          <w:rFonts w:asciiTheme="minorHAnsi" w:hAnsiTheme="minorHAnsi" w:cstheme="minorHAnsi"/>
          <w:b/>
          <w:color w:val="auto"/>
        </w:rPr>
        <w:t>/2022</w:t>
      </w:r>
    </w:p>
    <w:p w:rsidR="00D4238B" w:rsidRPr="000473D6" w:rsidP="00D4238B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Assunto: </w:t>
      </w:r>
      <w:r w:rsidR="00A3393A">
        <w:rPr>
          <w:rFonts w:asciiTheme="minorHAnsi" w:hAnsiTheme="minorHAnsi" w:cstheme="minorHAnsi"/>
          <w:b/>
          <w:bCs/>
          <w:szCs w:val="24"/>
        </w:rPr>
        <w:t>Emenda 02</w:t>
      </w:r>
      <w:r>
        <w:rPr>
          <w:rFonts w:asciiTheme="minorHAnsi" w:hAnsiTheme="minorHAnsi" w:cstheme="minorHAnsi"/>
          <w:b/>
          <w:bCs/>
          <w:szCs w:val="24"/>
        </w:rPr>
        <w:t xml:space="preserve"> ao </w:t>
      </w:r>
      <w:r w:rsidRPr="00BE6AF5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="00A3393A">
        <w:rPr>
          <w:rFonts w:asciiTheme="minorHAnsi" w:hAnsiTheme="minorHAnsi" w:cstheme="minorHAnsi"/>
          <w:b/>
          <w:bCs/>
          <w:szCs w:val="24"/>
        </w:rPr>
        <w:t>57</w:t>
      </w:r>
      <w:r w:rsidRPr="00BE6AF5">
        <w:rPr>
          <w:rFonts w:asciiTheme="minorHAnsi" w:hAnsiTheme="minorHAnsi" w:cstheme="minorHAnsi"/>
          <w:b/>
          <w:bCs/>
          <w:szCs w:val="24"/>
        </w:rPr>
        <w:t>/20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="00A3393A">
        <w:rPr>
          <w:rFonts w:asciiTheme="minorHAnsi" w:hAnsiTheme="minorHAnsi" w:cstheme="minorHAnsi"/>
          <w:b/>
          <w:bCs/>
          <w:szCs w:val="24"/>
        </w:rPr>
        <w:t>1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A3393A">
        <w:rPr>
          <w:rFonts w:asciiTheme="minorHAnsi" w:hAnsiTheme="minorHAnsi" w:cstheme="minorHAnsi"/>
          <w:b/>
          <w:bCs/>
          <w:szCs w:val="24"/>
        </w:rPr>
        <w:t xml:space="preserve">que </w:t>
      </w:r>
      <w:r w:rsidRPr="00A3393A" w:rsidR="00A3393A">
        <w:rPr>
          <w:rFonts w:asciiTheme="minorHAnsi" w:hAnsiTheme="minorHAnsi" w:cstheme="minorHAnsi"/>
          <w:b/>
          <w:bCs/>
          <w:i/>
          <w:szCs w:val="24"/>
        </w:rPr>
        <w:t>Dá nova redação ao Artigo 2º - Inciso XVII e ao Artigo 4º - Parágrafo único da Lei nº 5.597, de 10 de janeiro de 2018, que “Dispõe sobre o escoamento de águas pluviais e dá outras providências”</w:t>
      </w:r>
      <w:r w:rsidR="00A3393A">
        <w:rPr>
          <w:rFonts w:asciiTheme="minorHAnsi" w:hAnsiTheme="minorHAnsi" w:cstheme="minorHAnsi"/>
          <w:b/>
          <w:bCs/>
          <w:szCs w:val="24"/>
        </w:rPr>
        <w:t>.</w:t>
      </w:r>
      <w:r w:rsidRPr="000473D6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A3393A" w:rsidR="00A3393A">
        <w:rPr>
          <w:rFonts w:asciiTheme="minorHAnsi" w:hAnsiTheme="minorHAnsi" w:cstheme="minorHAnsi"/>
          <w:b/>
          <w:bCs/>
          <w:szCs w:val="24"/>
        </w:rPr>
        <w:t>Emenda de a</w:t>
      </w:r>
      <w:r w:rsidRPr="000473D6">
        <w:rPr>
          <w:rFonts w:asciiTheme="minorHAnsi" w:hAnsiTheme="minorHAnsi" w:cstheme="minorHAnsi"/>
          <w:b/>
          <w:bCs/>
          <w:szCs w:val="24"/>
        </w:rPr>
        <w:t xml:space="preserve">utoria do Vereador </w:t>
      </w:r>
      <w:r w:rsidR="00A3393A">
        <w:rPr>
          <w:rFonts w:asciiTheme="minorHAnsi" w:hAnsiTheme="minorHAnsi" w:cstheme="minorHAnsi"/>
          <w:b/>
          <w:bCs/>
          <w:szCs w:val="24"/>
        </w:rPr>
        <w:t>Gabriel Bueno</w:t>
      </w:r>
      <w:r w:rsidRPr="000473D6">
        <w:rPr>
          <w:rFonts w:asciiTheme="minorHAnsi" w:hAnsiTheme="minorHAnsi" w:cstheme="minorHAnsi"/>
          <w:b/>
          <w:bCs/>
          <w:szCs w:val="24"/>
        </w:rPr>
        <w:t>.</w:t>
      </w:r>
    </w:p>
    <w:p w:rsidR="00D4238B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3393A" w:rsidP="00A3393A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>em epígrafe que</w:t>
      </w:r>
      <w:r w:rsidR="00D4238B">
        <w:rPr>
          <w:rFonts w:asciiTheme="minorHAnsi" w:hAnsiTheme="minorHAnsi" w:cstheme="minorHAnsi"/>
        </w:rPr>
        <w:t xml:space="preserve"> </w:t>
      </w:r>
      <w:r w:rsidRPr="00D4238B" w:rsidR="00D4238B">
        <w:rPr>
          <w:rFonts w:asciiTheme="minorHAnsi" w:hAnsiTheme="minorHAnsi" w:cstheme="minorHAnsi"/>
        </w:rPr>
        <w:t xml:space="preserve">visa </w:t>
      </w:r>
      <w:r>
        <w:rPr>
          <w:rFonts w:asciiTheme="minorHAnsi" w:hAnsiTheme="minorHAnsi" w:cstheme="minorHAnsi"/>
        </w:rPr>
        <w:t>conferir</w:t>
      </w:r>
      <w:r w:rsidRPr="00A3393A">
        <w:rPr>
          <w:rFonts w:asciiTheme="minorHAnsi" w:hAnsiTheme="minorHAnsi" w:cstheme="minorHAnsi"/>
        </w:rPr>
        <w:t xml:space="preserve"> nova redação aos </w:t>
      </w:r>
      <w:r>
        <w:rPr>
          <w:rFonts w:asciiTheme="minorHAnsi" w:hAnsiTheme="minorHAnsi" w:cstheme="minorHAnsi"/>
        </w:rPr>
        <w:t>a</w:t>
      </w:r>
      <w:r w:rsidRPr="00A3393A">
        <w:rPr>
          <w:rFonts w:asciiTheme="minorHAnsi" w:hAnsiTheme="minorHAnsi" w:cstheme="minorHAnsi"/>
        </w:rPr>
        <w:t>rtigo</w:t>
      </w:r>
      <w:r>
        <w:rPr>
          <w:rFonts w:asciiTheme="minorHAnsi" w:hAnsiTheme="minorHAnsi" w:cstheme="minorHAnsi"/>
        </w:rPr>
        <w:t>s</w:t>
      </w:r>
      <w:r w:rsidRPr="00A3393A">
        <w:rPr>
          <w:rFonts w:asciiTheme="minorHAnsi" w:hAnsiTheme="minorHAnsi" w:cstheme="minorHAnsi"/>
        </w:rPr>
        <w:t xml:space="preserve"> 1º e 2º e</w:t>
      </w:r>
      <w:r>
        <w:rPr>
          <w:rFonts w:asciiTheme="minorHAnsi" w:hAnsiTheme="minorHAnsi" w:cstheme="minorHAnsi"/>
        </w:rPr>
        <w:t xml:space="preserve"> </w:t>
      </w:r>
      <w:r w:rsidRPr="00A3393A">
        <w:rPr>
          <w:rFonts w:asciiTheme="minorHAnsi" w:hAnsiTheme="minorHAnsi" w:cstheme="minorHAnsi"/>
        </w:rPr>
        <w:t xml:space="preserve">acrescenta o </w:t>
      </w:r>
      <w:r>
        <w:rPr>
          <w:rFonts w:asciiTheme="minorHAnsi" w:hAnsiTheme="minorHAnsi" w:cstheme="minorHAnsi"/>
        </w:rPr>
        <w:t>a</w:t>
      </w:r>
      <w:r w:rsidRPr="00A3393A">
        <w:rPr>
          <w:rFonts w:asciiTheme="minorHAnsi" w:hAnsiTheme="minorHAnsi" w:cstheme="minorHAnsi"/>
        </w:rPr>
        <w:t>rtigo 3º no Projeto de Lei nº</w:t>
      </w:r>
      <w:r>
        <w:rPr>
          <w:rFonts w:asciiTheme="minorHAnsi" w:hAnsiTheme="minorHAnsi" w:cstheme="minorHAnsi"/>
        </w:rPr>
        <w:t xml:space="preserve"> </w:t>
      </w:r>
      <w:r w:rsidRPr="00A3393A">
        <w:rPr>
          <w:rFonts w:asciiTheme="minorHAnsi" w:hAnsiTheme="minorHAnsi" w:cstheme="minorHAnsi"/>
        </w:rPr>
        <w:t xml:space="preserve">57/2021, renumerando o atual </w:t>
      </w:r>
      <w:r>
        <w:rPr>
          <w:rFonts w:asciiTheme="minorHAnsi" w:hAnsiTheme="minorHAnsi" w:cstheme="minorHAnsi"/>
        </w:rPr>
        <w:t>a</w:t>
      </w:r>
      <w:r w:rsidRPr="00A3393A">
        <w:rPr>
          <w:rFonts w:asciiTheme="minorHAnsi" w:hAnsiTheme="minorHAnsi" w:cstheme="minorHAnsi"/>
        </w:rPr>
        <w:t>rtigo 3º para</w:t>
      </w:r>
      <w:r>
        <w:rPr>
          <w:rFonts w:asciiTheme="minorHAnsi" w:hAnsiTheme="minorHAnsi" w:cstheme="minorHAnsi"/>
        </w:rPr>
        <w:t xml:space="preserve"> a</w:t>
      </w:r>
      <w:r w:rsidRPr="00A3393A">
        <w:rPr>
          <w:rFonts w:asciiTheme="minorHAnsi" w:hAnsiTheme="minorHAnsi" w:cstheme="minorHAnsi"/>
        </w:rPr>
        <w:t>rtigo 4º</w:t>
      </w:r>
      <w:r>
        <w:rPr>
          <w:rFonts w:asciiTheme="minorHAnsi" w:hAnsiTheme="minorHAnsi" w:cstheme="minorHAnsi"/>
        </w:rPr>
        <w:t>, nos seguintes termos:</w:t>
      </w:r>
    </w:p>
    <w:tbl>
      <w:tblPr>
        <w:tblStyle w:val="TableGrid"/>
        <w:tblW w:w="0" w:type="auto"/>
        <w:tblLook w:val="04A0"/>
      </w:tblPr>
      <w:tblGrid>
        <w:gridCol w:w="4219"/>
        <w:gridCol w:w="4425"/>
      </w:tblGrid>
      <w:tr w:rsidTr="008A7D22">
        <w:tblPrEx>
          <w:tblW w:w="0" w:type="auto"/>
          <w:tblLook w:val="04A0"/>
        </w:tblPrEx>
        <w:tc>
          <w:tcPr>
            <w:tcW w:w="4219" w:type="dxa"/>
          </w:tcPr>
          <w:p w:rsidR="00A3393A" w:rsidRPr="00A3393A" w:rsidP="00A3393A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393A">
              <w:rPr>
                <w:rFonts w:asciiTheme="minorHAnsi" w:hAnsiTheme="minorHAnsi" w:cstheme="minorHAnsi"/>
                <w:b/>
              </w:rPr>
              <w:t>Projeto de Lei nº 57/2021</w:t>
            </w:r>
          </w:p>
        </w:tc>
        <w:tc>
          <w:tcPr>
            <w:tcW w:w="4425" w:type="dxa"/>
          </w:tcPr>
          <w:p w:rsidR="00A3393A" w:rsidRPr="00A3393A" w:rsidP="00A3393A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393A">
              <w:rPr>
                <w:rFonts w:asciiTheme="minorHAnsi" w:hAnsiTheme="minorHAnsi" w:cstheme="minorHAnsi"/>
                <w:b/>
              </w:rPr>
              <w:t>Emenda 02 ao Projeto de Lei nº 57/2021</w:t>
            </w:r>
          </w:p>
        </w:tc>
      </w:tr>
      <w:tr w:rsidTr="008A7D22">
        <w:tblPrEx>
          <w:tblW w:w="0" w:type="auto"/>
          <w:tblLook w:val="04A0"/>
        </w:tblPrEx>
        <w:tc>
          <w:tcPr>
            <w:tcW w:w="4219" w:type="dxa"/>
          </w:tcPr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b/>
                <w:i/>
              </w:rPr>
              <w:t>Artigo 1º</w:t>
            </w:r>
            <w:r w:rsidRPr="00626A4F">
              <w:rPr>
                <w:rFonts w:asciiTheme="minorHAnsi" w:hAnsiTheme="minorHAnsi" w:cstheme="minorHAnsi"/>
                <w:i/>
              </w:rPr>
              <w:t>. Altera o inciso XVII do artigo 2º, que passa a ter a seguinte redação:</w:t>
            </w:r>
          </w:p>
          <w:p w:rsidR="008A7D22" w:rsidRPr="008A7D22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 xml:space="preserve"> </w:t>
            </w:r>
            <w:r w:rsidRPr="00626A4F">
              <w:rPr>
                <w:rFonts w:asciiTheme="minorHAnsi" w:hAnsiTheme="minorHAnsi" w:cstheme="minorHAnsi"/>
                <w:b/>
                <w:i/>
              </w:rPr>
              <w:t>Art. 2º</w:t>
            </w:r>
            <w:r w:rsidRPr="00626A4F">
              <w:rPr>
                <w:rFonts w:asciiTheme="minorHAnsi" w:hAnsiTheme="minorHAnsi" w:cstheme="minorHAnsi"/>
                <w:i/>
              </w:rPr>
              <w:t xml:space="preserve">... </w:t>
            </w:r>
          </w:p>
          <w:p w:rsidR="00626A4F" w:rsidRP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 xml:space="preserve">XVII - Entende-se por obra, qualquer tipo de construção, aterro, projeção e cobertura que contenham ou não pontos de apoio dentro da faixa de viela, inclusive no alinhamento de divisa dos terrenos. </w:t>
            </w:r>
          </w:p>
        </w:tc>
        <w:tc>
          <w:tcPr>
            <w:tcW w:w="4425" w:type="dxa"/>
          </w:tcPr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b/>
                <w:i/>
              </w:rPr>
              <w:t>Artigo 1º</w:t>
            </w:r>
            <w:r w:rsidRPr="00626A4F">
              <w:rPr>
                <w:rFonts w:asciiTheme="minorHAnsi" w:hAnsiTheme="minorHAnsi" w:cstheme="minorHAnsi"/>
                <w:i/>
              </w:rPr>
              <w:t xml:space="preserve">. Altera o inciso XVII do artigo 2º </w:t>
            </w:r>
            <w:r w:rsidRPr="005163A4">
              <w:rPr>
                <w:rFonts w:asciiTheme="minorHAnsi" w:hAnsiTheme="minorHAnsi" w:cstheme="minorHAnsi"/>
                <w:b/>
                <w:i/>
                <w:u w:val="single"/>
              </w:rPr>
              <w:t>da Lei nº 5.597/18</w:t>
            </w:r>
            <w:r w:rsidRPr="00626A4F">
              <w:rPr>
                <w:rFonts w:asciiTheme="minorHAnsi" w:hAnsiTheme="minorHAnsi" w:cstheme="minorHAnsi"/>
                <w:i/>
              </w:rPr>
              <w:t>, que passa a ter a seguinte redação:</w:t>
            </w:r>
          </w:p>
          <w:p w:rsidR="00626A4F" w:rsidRPr="008A7D22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A7D22">
              <w:rPr>
                <w:rFonts w:asciiTheme="minorHAnsi" w:hAnsiTheme="minorHAnsi" w:cstheme="minorHAnsi"/>
                <w:b/>
                <w:i/>
              </w:rPr>
              <w:t xml:space="preserve"> Art. 2º... </w:t>
            </w:r>
          </w:p>
          <w:p w:rsidR="00626A4F" w:rsidRP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 xml:space="preserve">XVII - Entende-se por obra, qualquer tipo de construção, aterro, projeção e cobertura que contenham ou não pontos de apoio dentro da faixa de viela, inclusive no alinhamento de divisa dos terrenos. </w:t>
            </w:r>
          </w:p>
        </w:tc>
      </w:tr>
      <w:tr w:rsidTr="008A7D22">
        <w:tblPrEx>
          <w:tblW w:w="0" w:type="auto"/>
          <w:tblLook w:val="04A0"/>
        </w:tblPrEx>
        <w:tc>
          <w:tcPr>
            <w:tcW w:w="4219" w:type="dxa"/>
          </w:tcPr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b/>
                <w:i/>
              </w:rPr>
              <w:t>Artigo 2º.</w:t>
            </w:r>
            <w:r w:rsidRPr="00626A4F">
              <w:rPr>
                <w:rFonts w:asciiTheme="minorHAnsi" w:hAnsiTheme="minorHAnsi" w:cstheme="minorHAnsi"/>
                <w:i/>
              </w:rPr>
              <w:t xml:space="preserve"> Altera o parágrafo único do artigo 4º, que passa a ter a seguinte </w:t>
            </w:r>
            <w:r w:rsidRPr="00626A4F">
              <w:rPr>
                <w:rFonts w:asciiTheme="minorHAnsi" w:hAnsiTheme="minorHAnsi" w:cstheme="minorHAnsi"/>
                <w:i/>
              </w:rPr>
              <w:t xml:space="preserve">redação: </w:t>
            </w:r>
          </w:p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 xml:space="preserve">Art. 4º... </w:t>
            </w:r>
          </w:p>
          <w:p w:rsidR="00626A4F" w:rsidRP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>Parágrafo único. O licenciamento da obra ocorrerá após o proprietário ou possuidor assinar a TERMO DE DECLARAÇÃO</w:t>
            </w:r>
            <w:r w:rsidR="005163A4">
              <w:rPr>
                <w:rFonts w:asciiTheme="minorHAnsi" w:hAnsiTheme="minorHAnsi" w:cstheme="minorHAnsi"/>
                <w:i/>
              </w:rPr>
              <w:t xml:space="preserve"> </w:t>
            </w:r>
            <w:r w:rsidRPr="00626A4F">
              <w:rPr>
                <w:rFonts w:asciiTheme="minorHAnsi" w:hAnsiTheme="minorHAnsi" w:cstheme="minorHAnsi"/>
                <w:i/>
              </w:rPr>
              <w:t>E ASSUNÇÃO DE RESPONSABILIDADE</w:t>
            </w:r>
            <w:r w:rsidR="005163A4">
              <w:rPr>
                <w:rFonts w:asciiTheme="minorHAnsi" w:hAnsiTheme="minorHAnsi" w:cstheme="minorHAnsi"/>
                <w:i/>
              </w:rPr>
              <w:t xml:space="preserve"> </w:t>
            </w:r>
            <w:r w:rsidRPr="00626A4F">
              <w:rPr>
                <w:rFonts w:asciiTheme="minorHAnsi" w:hAnsiTheme="minorHAnsi" w:cstheme="minorHAnsi"/>
                <w:i/>
              </w:rPr>
              <w:t>EM RAZÃO DO USO E OCUPAÇÃO DA FAIXA DE VIELA SANITÁRIA E/OU FAIXA DE SERVIDÃO, bem como do MEMORIAL DESCRITIVO, de acordo com os parâmetros estabelecidos, respectivamente, no Anexo I</w:t>
            </w:r>
            <w:r>
              <w:rPr>
                <w:rFonts w:asciiTheme="minorHAnsi" w:hAnsiTheme="minorHAnsi" w:cstheme="minorHAnsi"/>
                <w:i/>
              </w:rPr>
              <w:t>I</w:t>
            </w:r>
            <w:r w:rsidRPr="00626A4F">
              <w:rPr>
                <w:rFonts w:asciiTheme="minorHAnsi" w:hAnsiTheme="minorHAnsi" w:cstheme="minorHAnsi"/>
                <w:i/>
              </w:rPr>
              <w:t xml:space="preserve"> e no Anexo I</w:t>
            </w:r>
            <w:r>
              <w:rPr>
                <w:rFonts w:asciiTheme="minorHAnsi" w:hAnsiTheme="minorHAnsi" w:cstheme="minorHAnsi"/>
                <w:i/>
              </w:rPr>
              <w:t>II</w:t>
            </w:r>
            <w:r w:rsidRPr="00626A4F">
              <w:rPr>
                <w:rFonts w:asciiTheme="minorHAnsi" w:hAnsiTheme="minorHAnsi" w:cstheme="minorHAnsi"/>
                <w:i/>
              </w:rPr>
              <w:t xml:space="preserve"> desta Lei.</w:t>
            </w:r>
          </w:p>
        </w:tc>
        <w:tc>
          <w:tcPr>
            <w:tcW w:w="4425" w:type="dxa"/>
          </w:tcPr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b/>
                <w:i/>
              </w:rPr>
              <w:t>Artigo 2º.</w:t>
            </w:r>
            <w:r w:rsidRPr="00626A4F">
              <w:rPr>
                <w:rFonts w:asciiTheme="minorHAnsi" w:hAnsiTheme="minorHAnsi" w:cstheme="minorHAnsi"/>
                <w:i/>
              </w:rPr>
              <w:t xml:space="preserve"> Altera o parágrafo único do artigo 4º </w:t>
            </w:r>
            <w:r w:rsidRPr="005163A4">
              <w:rPr>
                <w:rFonts w:asciiTheme="minorHAnsi" w:hAnsiTheme="minorHAnsi" w:cstheme="minorHAnsi"/>
                <w:b/>
                <w:i/>
                <w:u w:val="single"/>
              </w:rPr>
              <w:t>da Lei nº 5.597/18</w:t>
            </w:r>
            <w:r w:rsidRPr="00626A4F">
              <w:rPr>
                <w:rFonts w:asciiTheme="minorHAnsi" w:hAnsiTheme="minorHAnsi" w:cstheme="minorHAnsi"/>
                <w:i/>
              </w:rPr>
              <w:t xml:space="preserve">, que passa a </w:t>
            </w:r>
            <w:r w:rsidRPr="00626A4F">
              <w:rPr>
                <w:rFonts w:asciiTheme="minorHAnsi" w:hAnsiTheme="minorHAnsi" w:cstheme="minorHAnsi"/>
                <w:i/>
              </w:rPr>
              <w:t xml:space="preserve">ter a seguinte redação: </w:t>
            </w:r>
          </w:p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 xml:space="preserve">Art. 4º... </w:t>
            </w:r>
          </w:p>
          <w:p w:rsidR="00626A4F" w:rsidRP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>Parágrafo único. O licenciamento da obra ocorrerá após o proprietário ou possuidor assinar a TERMO DE DECLARAÇÃOE ASSUNÇÃO DE RESPONSABILIDADEEM RAZÃO DO USO E OCUPAÇÃO DA FAIXA DE VIELA SANITÁRIA E/OU FAIXA DE SERVIDÃO, bem como do MEMORIAL DESCRITIVO, de acordo com os parâmetros estabelecidos, respectivamente, no Anexo I</w:t>
            </w:r>
            <w:r>
              <w:rPr>
                <w:rFonts w:asciiTheme="minorHAnsi" w:hAnsiTheme="minorHAnsi" w:cstheme="minorHAnsi"/>
                <w:i/>
              </w:rPr>
              <w:t>I</w:t>
            </w:r>
            <w:r w:rsidRPr="00626A4F">
              <w:rPr>
                <w:rFonts w:asciiTheme="minorHAnsi" w:hAnsiTheme="minorHAnsi" w:cstheme="minorHAnsi"/>
                <w:i/>
              </w:rPr>
              <w:t xml:space="preserve"> e no Anexo I</w:t>
            </w:r>
            <w:r>
              <w:rPr>
                <w:rFonts w:asciiTheme="minorHAnsi" w:hAnsiTheme="minorHAnsi" w:cstheme="minorHAnsi"/>
                <w:i/>
              </w:rPr>
              <w:t>II</w:t>
            </w:r>
            <w:r w:rsidRPr="00626A4F">
              <w:rPr>
                <w:rFonts w:asciiTheme="minorHAnsi" w:hAnsiTheme="minorHAnsi" w:cstheme="minorHAnsi"/>
                <w:i/>
              </w:rPr>
              <w:t xml:space="preserve"> desta Lei.</w:t>
            </w:r>
          </w:p>
        </w:tc>
      </w:tr>
      <w:tr w:rsidTr="008A7D22">
        <w:tblPrEx>
          <w:tblW w:w="0" w:type="auto"/>
          <w:tblLook w:val="04A0"/>
        </w:tblPrEx>
        <w:tc>
          <w:tcPr>
            <w:tcW w:w="4219" w:type="dxa"/>
          </w:tcPr>
          <w:p w:rsidR="00626A4F" w:rsidRPr="005163A4" w:rsidP="00A3393A">
            <w:pPr>
              <w:pStyle w:val="Default"/>
              <w:spacing w:after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</w:tcPr>
          <w:p w:rsid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b/>
                <w:i/>
              </w:rPr>
              <w:t>Art. 3º.</w:t>
            </w:r>
            <w:r>
              <w:rPr>
                <w:rFonts w:asciiTheme="minorHAnsi" w:hAnsiTheme="minorHAnsi" w:cstheme="minorHAnsi"/>
                <w:i/>
              </w:rPr>
              <w:t xml:space="preserve"> Altera o item </w:t>
            </w:r>
            <w:r>
              <w:rPr>
                <w:rFonts w:asciiTheme="minorHAnsi" w:hAnsiTheme="minorHAnsi" w:cstheme="minorHAnsi"/>
                <w:i/>
              </w:rPr>
              <w:t>5</w:t>
            </w:r>
            <w:r>
              <w:rPr>
                <w:rFonts w:asciiTheme="minorHAnsi" w:hAnsiTheme="minorHAnsi" w:cstheme="minorHAnsi"/>
                <w:i/>
              </w:rPr>
              <w:t xml:space="preserve"> do Anexo II</w:t>
            </w:r>
            <w:r w:rsidRPr="00626A4F">
              <w:rPr>
                <w:rFonts w:asciiTheme="minorHAnsi" w:hAnsiTheme="minorHAnsi" w:cstheme="minorHAnsi"/>
                <w:i/>
              </w:rPr>
              <w:t xml:space="preserve"> que passa a ter a seguinte redação: </w:t>
            </w:r>
          </w:p>
          <w:p w:rsidR="00626A4F" w:rsidRPr="00626A4F" w:rsidP="00626A4F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26A4F">
              <w:rPr>
                <w:rFonts w:asciiTheme="minorHAnsi" w:hAnsiTheme="minorHAnsi" w:cstheme="minorHAnsi"/>
                <w:i/>
              </w:rPr>
              <w:t>“5. O PROPRIETÁRIO providenciará o registro deste termo junto ao Cartório de Títulos e Documentos, conforme artigo 221 do Código Civil.”</w:t>
            </w:r>
          </w:p>
        </w:tc>
      </w:tr>
      <w:tr w:rsidTr="008A7D22">
        <w:tblPrEx>
          <w:tblW w:w="0" w:type="auto"/>
          <w:tblLook w:val="04A0"/>
        </w:tblPrEx>
        <w:tc>
          <w:tcPr>
            <w:tcW w:w="4219" w:type="dxa"/>
          </w:tcPr>
          <w:p w:rsidR="00626A4F" w:rsidRPr="00A3393A" w:rsidP="00A3393A">
            <w:pPr>
              <w:pStyle w:val="Default"/>
              <w:spacing w:after="24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Artigo 3</w:t>
            </w:r>
            <w:r w:rsidRPr="00626A4F">
              <w:rPr>
                <w:rFonts w:asciiTheme="minorHAnsi" w:hAnsiTheme="minorHAnsi" w:cstheme="minorHAnsi"/>
                <w:b/>
                <w:i/>
              </w:rPr>
              <w:t>º.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Esta Lei entra em vigor na data de sua publicação, revogando as disposições em contrário.</w:t>
            </w:r>
          </w:p>
        </w:tc>
        <w:tc>
          <w:tcPr>
            <w:tcW w:w="4425" w:type="dxa"/>
          </w:tcPr>
          <w:p w:rsidR="00626A4F" w:rsidRPr="00A3393A" w:rsidP="005163A4">
            <w:pPr>
              <w:pStyle w:val="Default"/>
              <w:spacing w:after="24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Artigo 4</w:t>
            </w:r>
            <w:r w:rsidRPr="00626A4F">
              <w:rPr>
                <w:rFonts w:asciiTheme="minorHAnsi" w:hAnsiTheme="minorHAnsi" w:cstheme="minorHAnsi"/>
                <w:b/>
                <w:i/>
              </w:rPr>
              <w:t>º.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Esta Lei entra em vigor na data de sua publicação, revogando as disposições em contrário.</w:t>
            </w:r>
          </w:p>
        </w:tc>
      </w:tr>
    </w:tbl>
    <w:p w:rsidR="00A3393A" w:rsidP="00A3393A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</w:t>
      </w:r>
      <w:r w:rsidRPr="0006682F">
        <w:rPr>
          <w:rFonts w:asciiTheme="minorHAnsi" w:hAnsiTheme="minorHAnsi" w:cstheme="minorHAnsi"/>
          <w:szCs w:val="24"/>
        </w:rPr>
        <w:t>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</w:t>
      </w:r>
      <w:r w:rsidRPr="00AC33D2">
        <w:rPr>
          <w:rFonts w:asciiTheme="minorHAnsi" w:hAnsiTheme="minorHAnsi" w:cstheme="minorHAnsi"/>
          <w:i/>
          <w:sz w:val="22"/>
          <w:szCs w:val="22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AC33D2">
        <w:rPr>
          <w:rFonts w:asciiTheme="minorHAnsi" w:hAnsiTheme="minorHAnsi" w:cstheme="minorHAnsi"/>
          <w:i/>
          <w:sz w:val="22"/>
          <w:szCs w:val="22"/>
          <w:u w:val="single"/>
        </w:rPr>
        <w:t>ex</w:t>
      </w:r>
      <w:r w:rsidRPr="00AC33D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AC33D2">
        <w:rPr>
          <w:rFonts w:asciiTheme="minorHAnsi" w:hAnsiTheme="minorHAnsi" w:cstheme="minorHAnsi"/>
          <w:i/>
          <w:sz w:val="22"/>
          <w:szCs w:val="22"/>
          <w:u w:val="single"/>
        </w:rPr>
        <w:t>oficio</w:t>
      </w:r>
      <w:r w:rsidRPr="00AC33D2">
        <w:rPr>
          <w:rFonts w:asciiTheme="minorHAnsi" w:hAnsiTheme="minorHAnsi" w:cstheme="minorHAnsi"/>
          <w:i/>
          <w:sz w:val="22"/>
          <w:szCs w:val="22"/>
          <w:u w:val="single"/>
        </w:rPr>
        <w:t xml:space="preserve"> da lei.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F90411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90411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90411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90411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031240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03124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78308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 xml:space="preserve">atende aos dispositivos do Regimento Interno da Câmara, não havendo óbice regimental na sua tramitação e quanto à matéria </w:t>
      </w:r>
      <w:r w:rsidR="00C15DC4">
        <w:rPr>
          <w:rFonts w:asciiTheme="minorHAnsi" w:hAnsiTheme="minorHAnsi" w:cs="Calibri"/>
          <w:szCs w:val="24"/>
        </w:rPr>
        <w:t xml:space="preserve">reiteramos </w:t>
      </w:r>
      <w:r w:rsidR="00F90411">
        <w:rPr>
          <w:rFonts w:asciiTheme="minorHAnsi" w:hAnsiTheme="minorHAnsi" w:cs="Calibri"/>
          <w:szCs w:val="24"/>
        </w:rPr>
        <w:t xml:space="preserve">o </w:t>
      </w:r>
      <w:r w:rsidR="00F90411">
        <w:rPr>
          <w:rFonts w:asciiTheme="minorHAnsi" w:hAnsiTheme="minorHAnsi" w:cstheme="minorHAnsi"/>
          <w:szCs w:val="24"/>
        </w:rPr>
        <w:t>Parecer DJ nº 164/2020 (doc. anexo), complementar ao Parecer DJ nº 128/2020, referente ao Projeto de Lei nº 53/2020,</w:t>
      </w:r>
      <w:r w:rsidRPr="00D8499D" w:rsidR="00F90411">
        <w:rPr>
          <w:rFonts w:asciiTheme="minorHAnsi" w:hAnsiTheme="minorHAnsi" w:cstheme="minorHAnsi"/>
          <w:szCs w:val="24"/>
        </w:rPr>
        <w:t xml:space="preserve"> </w:t>
      </w:r>
      <w:r w:rsidR="00F90411">
        <w:rPr>
          <w:rFonts w:asciiTheme="minorHAnsi" w:hAnsiTheme="minorHAnsi" w:cstheme="minorHAnsi"/>
          <w:szCs w:val="24"/>
        </w:rPr>
        <w:t>que trata da mesma matéria e conclui que o projeto poderá reunir condições de legalidade e constitucionalidade, caso observe os procedimentos formais em conformidade com o posicionamento do Tribunal de Justiça de São Paulo, porquanto em matérias de cunho urbanístico exige-se planejamento prévio consubstanciado em participação popular e realização de estudos técnicos.</w:t>
      </w:r>
      <w:r w:rsidR="00F90411">
        <w:rPr>
          <w:rFonts w:asciiTheme="minorHAnsi" w:hAnsiTheme="minorHAnsi" w:cstheme="minorHAnsi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  <w:bookmarkStart w:id="0" w:name="_GoBack"/>
      <w:bookmarkEnd w:id="0"/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 xml:space="preserve">, </w:t>
      </w:r>
      <w:r w:rsidR="00A3393A">
        <w:rPr>
          <w:rFonts w:ascii="Calibri" w:hAnsi="Calibri" w:cs="Calibri"/>
          <w:szCs w:val="24"/>
        </w:rPr>
        <w:t>16</w:t>
      </w:r>
      <w:r w:rsidRPr="003A7521">
        <w:rPr>
          <w:rFonts w:ascii="Calibri" w:hAnsi="Calibri" w:cs="Calibri"/>
          <w:szCs w:val="24"/>
        </w:rPr>
        <w:t xml:space="preserve"> de </w:t>
      </w:r>
      <w:r w:rsidR="00D4238B">
        <w:rPr>
          <w:rFonts w:ascii="Calibri" w:hAnsi="Calibri" w:cs="Calibri"/>
          <w:szCs w:val="24"/>
        </w:rPr>
        <w:t>maio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5163A4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5163A4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5163A4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5163A4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5163A4" w:rsidP="00305026">
            <w:pPr>
              <w:pStyle w:val="Footer"/>
              <w:ind w:left="-1985" w:right="-313"/>
              <w:jc w:val="center"/>
            </w:pPr>
          </w:p>
          <w:p w:rsidR="005163A4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90411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90411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3A4" w:rsidP="00305026">
    <w:pPr>
      <w:pStyle w:val="Header"/>
      <w:jc w:val="center"/>
      <w:rPr>
        <w:b/>
        <w:sz w:val="26"/>
        <w:lang w:val="pt-PT"/>
      </w:rPr>
    </w:pPr>
  </w:p>
  <w:p w:rsidR="005163A4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3A4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8279051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024798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420503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163A4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618557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20503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5163A4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163A4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5163A4" w:rsidP="00305026">
    <w:pPr>
      <w:pStyle w:val="Header"/>
      <w:jc w:val="center"/>
      <w:rPr>
        <w:sz w:val="20"/>
        <w:lang w:val="pt-PT"/>
      </w:rPr>
    </w:pPr>
  </w:p>
  <w:p w:rsidR="005163A4" w:rsidP="00305026">
    <w:pPr>
      <w:pStyle w:val="Header"/>
      <w:jc w:val="center"/>
      <w:rPr>
        <w:sz w:val="20"/>
        <w:lang w:val="pt-PT"/>
      </w:rPr>
    </w:pPr>
  </w:p>
  <w:p w:rsidR="005163A4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473D6"/>
    <w:rsid w:val="0006682F"/>
    <w:rsid w:val="001B125C"/>
    <w:rsid w:val="002F41B0"/>
    <w:rsid w:val="00305026"/>
    <w:rsid w:val="003A7521"/>
    <w:rsid w:val="003D4024"/>
    <w:rsid w:val="005163A4"/>
    <w:rsid w:val="00565D77"/>
    <w:rsid w:val="005D6203"/>
    <w:rsid w:val="00626A4F"/>
    <w:rsid w:val="00646BC4"/>
    <w:rsid w:val="00724E61"/>
    <w:rsid w:val="00743FE1"/>
    <w:rsid w:val="00783082"/>
    <w:rsid w:val="007D2626"/>
    <w:rsid w:val="00813294"/>
    <w:rsid w:val="0087598C"/>
    <w:rsid w:val="008A7D22"/>
    <w:rsid w:val="009D2232"/>
    <w:rsid w:val="00A3393A"/>
    <w:rsid w:val="00A779B8"/>
    <w:rsid w:val="00AC33D2"/>
    <w:rsid w:val="00AD09BD"/>
    <w:rsid w:val="00AF01F9"/>
    <w:rsid w:val="00BE6AF5"/>
    <w:rsid w:val="00C15DC4"/>
    <w:rsid w:val="00D01A07"/>
    <w:rsid w:val="00D4238B"/>
    <w:rsid w:val="00D8499D"/>
    <w:rsid w:val="00D932DC"/>
    <w:rsid w:val="00DD45D3"/>
    <w:rsid w:val="00E71AE8"/>
    <w:rsid w:val="00F33184"/>
    <w:rsid w:val="00F53BEF"/>
    <w:rsid w:val="00F90411"/>
    <w:rsid w:val="00FC62DB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dcterms:created xsi:type="dcterms:W3CDTF">2022-05-16T13:26:00Z</dcterms:created>
  <dcterms:modified xsi:type="dcterms:W3CDTF">2022-05-16T14:18:00Z</dcterms:modified>
</cp:coreProperties>
</file>