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RPr="00862090" w:rsidP="005D54F2">
      <w:pPr>
        <w:pStyle w:val="Default"/>
        <w:jc w:val="both"/>
        <w:rPr>
          <w:rFonts w:ascii="Calibri" w:hAnsi="Calibri" w:cs="Calibri"/>
          <w:b/>
          <w:color w:val="auto"/>
        </w:rPr>
      </w:pPr>
      <w:r w:rsidRPr="00862090">
        <w:rPr>
          <w:rFonts w:ascii="Calibri" w:hAnsi="Calibri" w:cs="Calibri"/>
          <w:b/>
          <w:color w:val="auto"/>
        </w:rPr>
        <w:t xml:space="preserve">Parecer Jurídico nº </w:t>
      </w:r>
      <w:r w:rsidRPr="00862090" w:rsidR="002D27A9">
        <w:rPr>
          <w:rFonts w:ascii="Calibri" w:hAnsi="Calibri" w:cs="Calibri"/>
          <w:b/>
          <w:color w:val="auto"/>
        </w:rPr>
        <w:t>166</w:t>
      </w:r>
      <w:r w:rsidRPr="00862090">
        <w:rPr>
          <w:rFonts w:ascii="Calibri" w:hAnsi="Calibri" w:cs="Calibri"/>
          <w:b/>
          <w:color w:val="auto"/>
        </w:rPr>
        <w:t>/2022.</w:t>
      </w:r>
    </w:p>
    <w:p w:rsidR="004421CB" w:rsidRPr="002337C6" w:rsidP="004421CB">
      <w:pPr>
        <w:pStyle w:val="Default"/>
        <w:tabs>
          <w:tab w:val="left" w:pos="1276"/>
        </w:tabs>
        <w:spacing w:after="120"/>
        <w:jc w:val="both"/>
        <w:rPr>
          <w:rFonts w:ascii="Calibri" w:hAnsi="Calibri" w:cs="Calibri"/>
          <w:b/>
          <w:bCs/>
        </w:rPr>
      </w:pPr>
      <w:r w:rsidRPr="00862090">
        <w:rPr>
          <w:rFonts w:ascii="Calibri" w:hAnsi="Calibri" w:cs="Calibri"/>
          <w:b/>
          <w:bCs/>
          <w:color w:val="auto"/>
        </w:rPr>
        <w:t xml:space="preserve">Assunto: Projeto de Lei nº 96/2022 – Autoria </w:t>
      </w:r>
      <w:r w:rsidRPr="002337C6">
        <w:rPr>
          <w:rFonts w:ascii="Calibri" w:hAnsi="Calibri" w:cs="Calibri"/>
          <w:b/>
          <w:bCs/>
        </w:rPr>
        <w:t>da Prefeita – Dispõe sobre o Programa de Recuperação Fiscal – REFIS-DAEV, no âmbito do Departamento de Águas e Esgotos de Valinhos - DAEV, na forma e condições que especifica. Mensagem nº 32/2022.</w:t>
      </w:r>
    </w:p>
    <w:p w:rsidR="004421CB" w:rsidRPr="002337C6" w:rsidP="004421CB">
      <w:pPr>
        <w:pStyle w:val="Default"/>
        <w:tabs>
          <w:tab w:val="left" w:pos="1276"/>
        </w:tabs>
        <w:spacing w:after="120"/>
        <w:jc w:val="both"/>
        <w:rPr>
          <w:rFonts w:ascii="Calibri" w:hAnsi="Calibri" w:cs="Calibri"/>
          <w:b/>
        </w:rPr>
      </w:pPr>
    </w:p>
    <w:p w:rsidR="004421CB" w:rsidRPr="002337C6" w:rsidP="004421CB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p w:rsidR="004421CB" w:rsidRPr="002337C6" w:rsidP="004421CB">
      <w:pPr>
        <w:pStyle w:val="Default"/>
        <w:jc w:val="both"/>
        <w:rPr>
          <w:rFonts w:ascii="Calibri" w:hAnsi="Calibri" w:cs="Calibri"/>
          <w:b/>
          <w:i/>
        </w:rPr>
      </w:pPr>
      <w:r w:rsidRPr="002337C6">
        <w:rPr>
          <w:rFonts w:ascii="Calibri" w:hAnsi="Calibri" w:cs="Calibri"/>
          <w:b/>
          <w:i/>
        </w:rPr>
        <w:t>À Comissão de Justiça e Redação,</w:t>
      </w:r>
    </w:p>
    <w:p w:rsidR="004421CB" w:rsidRPr="002337C6" w:rsidP="004421CB">
      <w:pPr>
        <w:pStyle w:val="Default"/>
        <w:jc w:val="both"/>
        <w:rPr>
          <w:rFonts w:ascii="Calibri" w:hAnsi="Calibri" w:cs="Calibri"/>
          <w:b/>
          <w:i/>
        </w:rPr>
      </w:pPr>
      <w:r w:rsidRPr="002337C6">
        <w:rPr>
          <w:rFonts w:ascii="Calibri" w:hAnsi="Calibri" w:cs="Calibri"/>
          <w:b/>
          <w:i/>
        </w:rPr>
        <w:t xml:space="preserve">Exmo. </w:t>
      </w:r>
      <w:r w:rsidR="00626D58">
        <w:rPr>
          <w:rFonts w:ascii="Calibri" w:hAnsi="Calibri" w:cs="Calibri"/>
          <w:b/>
          <w:i/>
        </w:rPr>
        <w:t xml:space="preserve">Presidente </w:t>
      </w:r>
      <w:r w:rsidRPr="002337C6">
        <w:rPr>
          <w:rFonts w:ascii="Calibri" w:hAnsi="Calibri" w:cs="Calibri"/>
          <w:b/>
          <w:i/>
        </w:rPr>
        <w:t>Vereador Sidmar Rodrigo Toloi.</w:t>
      </w:r>
    </w:p>
    <w:p w:rsidR="004421CB" w:rsidRPr="002337C6" w:rsidP="004421CB">
      <w:pPr>
        <w:pStyle w:val="Default"/>
        <w:jc w:val="both"/>
        <w:rPr>
          <w:rFonts w:ascii="Calibri" w:hAnsi="Calibri" w:cs="Calibri"/>
          <w:b/>
          <w:i/>
        </w:rPr>
      </w:pPr>
    </w:p>
    <w:p w:rsidR="004421CB" w:rsidRPr="002337C6" w:rsidP="004421CB">
      <w:pPr>
        <w:pStyle w:val="Default"/>
        <w:jc w:val="both"/>
        <w:rPr>
          <w:rFonts w:ascii="Calibri" w:hAnsi="Calibri" w:cs="Calibri"/>
          <w:b/>
          <w:i/>
        </w:rPr>
      </w:pPr>
    </w:p>
    <w:p w:rsidR="004421CB" w:rsidRPr="002337C6" w:rsidP="004421CB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2337C6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2337C6">
        <w:rPr>
          <w:rFonts w:ascii="Calibri" w:hAnsi="Calibri" w:cs="Calibri"/>
          <w:i/>
          <w:szCs w:val="24"/>
        </w:rPr>
        <w:t>“Dispõe sobre o Programa de Recuperação Fiscal – REFIS-DAEV, no âmbito do Departamento de Águas e Esgotos de Valinhos - DAEV, na forma e condições que especifica”.</w:t>
      </w:r>
    </w:p>
    <w:p w:rsidR="004421CB" w:rsidRPr="002337C6" w:rsidP="004421CB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337C6">
        <w:rPr>
          <w:rFonts w:ascii="Calibri" w:hAnsi="Calibri" w:cs="Calibri"/>
          <w:szCs w:val="24"/>
        </w:rPr>
        <w:t>Consta da mensagem do projeto: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>(...)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>Esta propositura oriunda do expediente administrativo nº 8257/22-PMV, visa proporcionar oportunidade de regularização fiscal aos contribuintes em débito com o DAEV em condições especiais de pagamento, com descontos sobre multas e juros.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>Destaca-se que a preocupação e a facilitação para que os usuários em débito com a Autarquia possam regularizar sua</w:t>
      </w:r>
      <w:r w:rsidR="007264BA">
        <w:rPr>
          <w:rFonts w:ascii="Calibri" w:hAnsi="Calibri" w:cs="Calibri"/>
          <w:i/>
          <w:sz w:val="22"/>
          <w:szCs w:val="22"/>
        </w:rPr>
        <w:t>s</w:t>
      </w:r>
      <w:r w:rsidRPr="002337C6">
        <w:rPr>
          <w:rFonts w:ascii="Calibri" w:hAnsi="Calibri" w:cs="Calibri"/>
          <w:i/>
          <w:sz w:val="22"/>
          <w:szCs w:val="22"/>
        </w:rPr>
        <w:t xml:space="preserve"> pendências na forma que escalonamento das opções de pagamento com valores das parcelas próximo </w:t>
      </w:r>
      <w:r w:rsidRPr="002337C6">
        <w:rPr>
          <w:rFonts w:ascii="Calibri" w:hAnsi="Calibri" w:cs="Calibri"/>
          <w:i/>
          <w:sz w:val="22"/>
          <w:szCs w:val="22"/>
        </w:rPr>
        <w:t>a</w:t>
      </w:r>
      <w:r w:rsidRPr="002337C6">
        <w:rPr>
          <w:rFonts w:ascii="Calibri" w:hAnsi="Calibri" w:cs="Calibri"/>
          <w:i/>
          <w:sz w:val="22"/>
          <w:szCs w:val="22"/>
        </w:rPr>
        <w:t xml:space="preserve"> meia UFMV – Unidade Fiscal do Município de Valinhos.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 xml:space="preserve">Importante enfatizar que as concessões apresentadas incidem apenas sobre os encargos acessórios, não afetando o valor principal e suas respectivas atualizações monetárias. 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 xml:space="preserve">Ademais, nos termos constantes no incluso Projeto de Lei, consta que esta norma produzira seus efeitos </w:t>
      </w:r>
      <w:r w:rsidRPr="002337C6">
        <w:rPr>
          <w:rFonts w:ascii="Calibri" w:hAnsi="Calibri" w:cs="Calibri"/>
          <w:i/>
          <w:sz w:val="22"/>
          <w:szCs w:val="22"/>
        </w:rPr>
        <w:t>após</w:t>
      </w:r>
      <w:r w:rsidRPr="002337C6">
        <w:rPr>
          <w:rFonts w:ascii="Calibri" w:hAnsi="Calibri" w:cs="Calibri"/>
          <w:i/>
          <w:sz w:val="22"/>
          <w:szCs w:val="22"/>
        </w:rPr>
        <w:t xml:space="preserve"> decorridos 30 (trinta) dias, nesse período a Autarquia adotará as providências para adequações de seu sistema e concomitantemente na divulgação para população Valinhense.</w:t>
      </w:r>
    </w:p>
    <w:p w:rsidR="004421CB" w:rsidRPr="002337C6" w:rsidP="00C277E7">
      <w:pPr>
        <w:spacing w:after="8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337C6">
        <w:rPr>
          <w:rFonts w:ascii="Calibri" w:hAnsi="Calibri" w:cs="Calibri"/>
          <w:i/>
          <w:sz w:val="22"/>
          <w:szCs w:val="22"/>
        </w:rPr>
        <w:t>(...)</w:t>
      </w:r>
    </w:p>
    <w:p w:rsidR="00AB6F7F" w:rsidP="004421C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  <w:szCs w:val="24"/>
        </w:rPr>
      </w:pPr>
      <w:r w:rsidRPr="002337C6">
        <w:rPr>
          <w:rFonts w:ascii="Calibri" w:hAnsi="Calibri" w:cs="Calibri"/>
          <w:i/>
          <w:szCs w:val="24"/>
        </w:rPr>
        <w:tab/>
      </w:r>
      <w:r w:rsidR="00626D58">
        <w:rPr>
          <w:rFonts w:ascii="Calibri" w:hAnsi="Calibri" w:cs="Calibri"/>
          <w:szCs w:val="24"/>
        </w:rPr>
        <w:t>Ainda, consta do processo legislativo</w:t>
      </w:r>
      <w:r>
        <w:rPr>
          <w:rFonts w:ascii="Calibri" w:hAnsi="Calibri" w:cs="Calibri"/>
          <w:szCs w:val="24"/>
        </w:rPr>
        <w:t xml:space="preserve"> estudo de impacto orçamentário-financeiro elaborado pelo Diretor do Departamento Financeiro do DAEV.</w:t>
      </w:r>
    </w:p>
    <w:p w:rsidR="004421CB" w:rsidRPr="002337C6" w:rsidP="00AB6F7F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2337C6">
        <w:rPr>
          <w:rFonts w:ascii="Calibri" w:hAnsi="Calibri" w:cs="Calibri"/>
          <w:i/>
          <w:szCs w:val="24"/>
        </w:rPr>
        <w:t>Ab initio</w:t>
      </w:r>
      <w:r w:rsidRPr="002337C6">
        <w:rPr>
          <w:rFonts w:ascii="Calibri" w:hAnsi="Calibri" w:cs="Calibri"/>
          <w:szCs w:val="24"/>
        </w:rPr>
        <w:t>, cumpre destacar a competência regimental da Comissão de Justiça e Redação estabelecida no artigo 38.</w:t>
      </w:r>
    </w:p>
    <w:p w:rsidR="004421CB" w:rsidRPr="002337C6" w:rsidP="004421C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  <w:color w:val="000000"/>
          <w:szCs w:val="24"/>
        </w:rPr>
      </w:pPr>
      <w:r w:rsidRPr="002337C6">
        <w:rPr>
          <w:rFonts w:ascii="Calibri" w:hAnsi="Calibri" w:cs="Calibri"/>
          <w:szCs w:val="24"/>
        </w:rPr>
        <w:tab/>
      </w:r>
      <w:r w:rsidRPr="002337C6">
        <w:rPr>
          <w:rFonts w:ascii="Calibri" w:hAnsi="Calibri" w:cs="Calibri"/>
          <w:szCs w:val="24"/>
        </w:rPr>
        <w:t>Outrossim</w:t>
      </w:r>
      <w:r w:rsidRPr="002337C6">
        <w:rPr>
          <w:rFonts w:ascii="Calibri" w:hAnsi="Calibri" w:cs="Calibri"/>
          <w:szCs w:val="24"/>
        </w:rPr>
        <w:t xml:space="preserve">, ressalta-se que a opinião jurídica exarada neste parecer </w:t>
      </w:r>
      <w:r w:rsidRPr="002337C6">
        <w:rPr>
          <w:rFonts w:ascii="Calibri" w:hAnsi="Calibri" w:cs="Calibri"/>
          <w:b/>
          <w:szCs w:val="24"/>
        </w:rPr>
        <w:t>não tem força vinculante</w:t>
      </w:r>
      <w:r w:rsidRPr="002337C6">
        <w:rPr>
          <w:rFonts w:ascii="Calibri" w:hAnsi="Calibri" w:cs="Calibri"/>
          <w:szCs w:val="24"/>
        </w:rPr>
        <w:t xml:space="preserve">, sendo meramente opinativo não fundamentando decisão proferida pelas Comissões e/ou nobres vereadores. </w:t>
      </w:r>
      <w:r w:rsidRPr="002337C6">
        <w:rPr>
          <w:rFonts w:ascii="Calibri" w:hAnsi="Calibri" w:cs="Calibri"/>
          <w:color w:val="000000"/>
          <w:szCs w:val="24"/>
        </w:rPr>
        <w:t xml:space="preserve">Nesse sentido é o entendimento do C. Supremo Tribunal Federal: </w:t>
      </w:r>
    </w:p>
    <w:p w:rsidR="004421CB" w:rsidRPr="002337C6" w:rsidP="00C277E7">
      <w:pPr>
        <w:autoSpaceDE w:val="0"/>
        <w:autoSpaceDN w:val="0"/>
        <w:adjustRightInd w:val="0"/>
        <w:spacing w:after="24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337C6">
        <w:rPr>
          <w:rFonts w:ascii="Calibri" w:hAnsi="Calibri" w:cs="Calibri"/>
          <w:i/>
          <w:color w:val="000000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337C6">
        <w:rPr>
          <w:rFonts w:ascii="Calibri" w:hAnsi="Calibri" w:cs="Calibri"/>
          <w:i/>
          <w:color w:val="000000"/>
          <w:sz w:val="22"/>
          <w:szCs w:val="22"/>
        </w:rPr>
        <w:t>ex</w:t>
      </w:r>
      <w:r w:rsidRPr="002337C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337C6">
        <w:rPr>
          <w:rFonts w:ascii="Calibri" w:hAnsi="Calibri" w:cs="Calibri"/>
          <w:i/>
          <w:color w:val="000000"/>
          <w:sz w:val="22"/>
          <w:szCs w:val="22"/>
        </w:rPr>
        <w:t>oficio</w:t>
      </w:r>
      <w:r w:rsidRPr="002337C6">
        <w:rPr>
          <w:rFonts w:ascii="Calibri" w:hAnsi="Calibri" w:cs="Calibri"/>
          <w:i/>
          <w:color w:val="000000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0351B" w:rsidP="0020351B">
      <w:pPr>
        <w:spacing w:before="240"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337C6">
        <w:rPr>
          <w:rFonts w:ascii="Calibri" w:hAnsi="Calibri" w:cs="Calibri"/>
          <w:szCs w:val="24"/>
        </w:rPr>
        <w:t xml:space="preserve">Pois bem, considerando os aspectos jurídicos passamos à </w:t>
      </w:r>
      <w:r w:rsidRPr="002337C6">
        <w:rPr>
          <w:rFonts w:ascii="Calibri" w:hAnsi="Calibri" w:cs="Calibri"/>
          <w:b/>
          <w:szCs w:val="24"/>
        </w:rPr>
        <w:t>análise técnica</w:t>
      </w:r>
      <w:r w:rsidRPr="002337C6">
        <w:rPr>
          <w:rFonts w:ascii="Calibri" w:hAnsi="Calibri" w:cs="Calibri"/>
          <w:szCs w:val="24"/>
        </w:rPr>
        <w:t xml:space="preserve"> do projeto em epígrafe solicitado.</w:t>
      </w:r>
    </w:p>
    <w:p w:rsidR="0020351B" w:rsidRPr="005D26F1" w:rsidP="0020351B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D26F1">
        <w:rPr>
          <w:rFonts w:asciiTheme="minorHAnsi" w:hAnsiTheme="minorHAnsi" w:cstheme="minorHAnsi"/>
          <w:szCs w:val="24"/>
        </w:rPr>
        <w:t xml:space="preserve">No que tange à </w:t>
      </w:r>
      <w:r w:rsidRPr="0020351B">
        <w:rPr>
          <w:rFonts w:asciiTheme="minorHAnsi" w:hAnsiTheme="minorHAnsi" w:cstheme="minorHAnsi"/>
          <w:b/>
          <w:szCs w:val="24"/>
        </w:rPr>
        <w:t>competência municipal</w:t>
      </w:r>
      <w:r w:rsidRPr="005D26F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 proposta afigura-se constitucional, porquanto </w:t>
      </w:r>
      <w:r w:rsidRPr="005D26F1">
        <w:rPr>
          <w:rFonts w:asciiTheme="minorHAnsi" w:hAnsiTheme="minorHAnsi" w:cstheme="minorHAnsi"/>
          <w:szCs w:val="24"/>
        </w:rPr>
        <w:t>os Municípios foram dotados de autonomia legislativa, que vem consubstanciada na capacidade de legislar sobre assuntos de interesse local (art. 30, inciso I, da CRFB):</w:t>
      </w:r>
    </w:p>
    <w:p w:rsidR="0020351B" w:rsidRPr="00D70A95" w:rsidP="0020351B">
      <w:pPr>
        <w:shd w:val="clear" w:color="auto" w:fill="FFFFFF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Art. 30. Compete aos Municípios:</w:t>
      </w:r>
    </w:p>
    <w:p w:rsidR="0020351B" w:rsidRPr="00D70A95" w:rsidP="0020351B">
      <w:pPr>
        <w:shd w:val="clear" w:color="auto" w:fill="FFFFFF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</w:p>
    <w:p w:rsidR="0020351B" w:rsidP="0020351B">
      <w:pPr>
        <w:shd w:val="clear" w:color="auto" w:fill="FFFFFF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626D58" w:rsidRPr="00D70A95" w:rsidP="0020351B">
      <w:pPr>
        <w:shd w:val="clear" w:color="auto" w:fill="FFFFFF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351B" w:rsidRPr="005D26F1" w:rsidP="0020351B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D26F1">
        <w:rPr>
          <w:rFonts w:asciiTheme="minorHAnsi" w:hAnsiTheme="minorHAnsi" w:cstheme="minorHAnsi"/>
          <w:szCs w:val="24"/>
        </w:rPr>
        <w:t>No mesmo sentido a Lei Orgânica do Município:</w:t>
      </w:r>
    </w:p>
    <w:p w:rsidR="0020351B" w:rsidRPr="00D70A95" w:rsidP="0020351B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Artigo 5º </w:t>
      </w:r>
      <w:r w:rsidRPr="00D70A95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- </w:t>
      </w:r>
      <w:r w:rsidRPr="00D70A95">
        <w:rPr>
          <w:rFonts w:asciiTheme="minorHAnsi" w:hAnsiTheme="minorHAnsi" w:cstheme="minorHAnsi"/>
          <w:i/>
          <w:sz w:val="22"/>
          <w:szCs w:val="22"/>
          <w:u w:val="single"/>
        </w:rPr>
        <w:t>Compete ao Município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no exercício de sua autonomia legislar sobre tudo quanto respeite ao interesse local, tendo como objetivo o pleno desenvolvimento de suas funções sociais e garantir o bem-estar de seus habitantes</w:t>
      </w:r>
      <w:r w:rsidRPr="00D70A95">
        <w:rPr>
          <w:rFonts w:asciiTheme="minorHAnsi" w:hAnsiTheme="minorHAnsi" w:cstheme="minorHAnsi"/>
          <w:i/>
          <w:sz w:val="22"/>
          <w:szCs w:val="22"/>
        </w:rPr>
        <w:t>, cabendo-lhe privativamente entre outras, as seguintes atribuições:</w:t>
      </w:r>
    </w:p>
    <w:p w:rsidR="0020351B" w:rsidRPr="00D70A95" w:rsidP="0020351B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0351B" w:rsidRPr="00D70A95" w:rsidP="0020351B">
      <w:pPr>
        <w:pStyle w:val="Default"/>
        <w:ind w:left="22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0351B" w:rsidRPr="00D70A95" w:rsidP="0020351B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70A95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Artigo 8º - </w:t>
      </w:r>
      <w:r w:rsidRPr="00D70A95">
        <w:rPr>
          <w:rFonts w:asciiTheme="minorHAnsi" w:hAnsiTheme="minorHAnsi" w:cstheme="minorHAnsi"/>
          <w:b/>
          <w:i/>
          <w:color w:val="auto"/>
          <w:sz w:val="22"/>
          <w:szCs w:val="22"/>
        </w:rPr>
        <w:t>Cabe à Câmara</w:t>
      </w:r>
      <w:r w:rsidRPr="00D70A95">
        <w:rPr>
          <w:rFonts w:asciiTheme="minorHAnsi" w:hAnsiTheme="minorHAnsi" w:cstheme="minorHAnsi"/>
          <w:i/>
          <w:color w:val="auto"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20351B" w:rsidRPr="00D70A95" w:rsidP="0020351B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D70A95">
        <w:rPr>
          <w:rFonts w:asciiTheme="minorHAnsi" w:hAnsiTheme="minorHAnsi" w:cstheme="minorHAnsi"/>
          <w:b/>
          <w:i/>
          <w:color w:val="auto"/>
          <w:sz w:val="22"/>
          <w:szCs w:val="22"/>
        </w:rPr>
        <w:t>I - legislar sobre assuntos de interesse local;</w:t>
      </w:r>
    </w:p>
    <w:p w:rsidR="0020351B" w:rsidRPr="00D70A95" w:rsidP="0020351B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70A95">
        <w:rPr>
          <w:rFonts w:asciiTheme="minorHAnsi" w:hAnsiTheme="minorHAnsi" w:cstheme="minorHAnsi"/>
          <w:i/>
          <w:color w:val="auto"/>
          <w:sz w:val="22"/>
          <w:szCs w:val="22"/>
        </w:rPr>
        <w:t>[...]</w:t>
      </w:r>
    </w:p>
    <w:p w:rsidR="0020351B" w:rsidRPr="00D70A95" w:rsidP="0020351B">
      <w:pPr>
        <w:pStyle w:val="Default"/>
        <w:spacing w:after="120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20351B" w:rsidRPr="005D26F1" w:rsidP="0020351B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Quanto à </w:t>
      </w:r>
      <w:r w:rsidRPr="0020351B">
        <w:rPr>
          <w:rFonts w:asciiTheme="minorHAnsi" w:hAnsiTheme="minorHAnsi" w:cstheme="minorHAnsi"/>
          <w:b/>
          <w:szCs w:val="24"/>
        </w:rPr>
        <w:t xml:space="preserve">competência para deflagra </w:t>
      </w:r>
      <w:r w:rsidRPr="0020351B">
        <w:rPr>
          <w:rFonts w:asciiTheme="minorHAnsi" w:hAnsiTheme="minorHAnsi" w:cstheme="minorHAnsi"/>
          <w:b/>
          <w:szCs w:val="24"/>
        </w:rPr>
        <w:t>o processo legislativo</w:t>
      </w:r>
      <w:r>
        <w:rPr>
          <w:rFonts w:asciiTheme="minorHAnsi" w:hAnsiTheme="minorHAnsi" w:cstheme="minorHAnsi"/>
          <w:szCs w:val="24"/>
        </w:rPr>
        <w:t xml:space="preserve"> </w:t>
      </w:r>
      <w:r w:rsidRPr="005D26F1">
        <w:rPr>
          <w:rFonts w:asciiTheme="minorHAnsi" w:hAnsiTheme="minorHAnsi" w:cstheme="minorHAnsi"/>
          <w:szCs w:val="24"/>
        </w:rPr>
        <w:t>encontramos</w:t>
      </w:r>
      <w:r w:rsidRPr="005D26F1">
        <w:rPr>
          <w:rFonts w:asciiTheme="minorHAnsi" w:hAnsiTheme="minorHAnsi" w:cstheme="minorHAnsi"/>
          <w:szCs w:val="24"/>
        </w:rPr>
        <w:t xml:space="preserve"> no </w:t>
      </w:r>
      <w:r>
        <w:rPr>
          <w:rFonts w:asciiTheme="minorHAnsi" w:hAnsiTheme="minorHAnsi" w:cstheme="minorHAnsi"/>
          <w:szCs w:val="24"/>
        </w:rPr>
        <w:t xml:space="preserve">E. </w:t>
      </w:r>
      <w:r w:rsidRPr="005D26F1">
        <w:rPr>
          <w:rFonts w:asciiTheme="minorHAnsi" w:hAnsiTheme="minorHAnsi" w:cstheme="minorHAnsi"/>
          <w:szCs w:val="24"/>
        </w:rPr>
        <w:t>Tribunal de Justiça do Estado de São Paulo entendimento pacífico acerca da competência privativa do</w:t>
      </w:r>
      <w:r>
        <w:rPr>
          <w:rFonts w:asciiTheme="minorHAnsi" w:hAnsiTheme="minorHAnsi" w:cstheme="minorHAnsi"/>
          <w:szCs w:val="24"/>
        </w:rPr>
        <w:t xml:space="preserve"> Chefe do</w:t>
      </w:r>
      <w:r w:rsidRPr="005D26F1">
        <w:rPr>
          <w:rFonts w:asciiTheme="minorHAnsi" w:hAnsiTheme="minorHAnsi" w:cstheme="minorHAnsi"/>
          <w:szCs w:val="24"/>
        </w:rPr>
        <w:t xml:space="preserve"> Executivo para dispor sobre</w:t>
      </w:r>
      <w:r w:rsidR="00862090">
        <w:rPr>
          <w:rFonts w:asciiTheme="minorHAnsi" w:hAnsiTheme="minorHAnsi" w:cstheme="minorHAnsi"/>
          <w:szCs w:val="24"/>
        </w:rPr>
        <w:t xml:space="preserve"> </w:t>
      </w:r>
      <w:r w:rsidR="00C277E7">
        <w:rPr>
          <w:rFonts w:asciiTheme="minorHAnsi" w:hAnsiTheme="minorHAnsi" w:cstheme="minorHAnsi"/>
          <w:szCs w:val="24"/>
        </w:rPr>
        <w:t>a política tarifária</w:t>
      </w:r>
      <w:r w:rsidR="00862090">
        <w:rPr>
          <w:rFonts w:asciiTheme="minorHAnsi" w:hAnsiTheme="minorHAnsi" w:cstheme="minorHAnsi"/>
          <w:szCs w:val="24"/>
        </w:rPr>
        <w:t>,</w:t>
      </w:r>
      <w:r w:rsidRPr="005D26F1">
        <w:rPr>
          <w:rFonts w:asciiTheme="minorHAnsi" w:hAnsiTheme="minorHAnsi" w:cstheme="minorHAnsi"/>
          <w:szCs w:val="24"/>
        </w:rPr>
        <w:t xml:space="preserve"> vejamos</w:t>
      </w:r>
      <w:r w:rsidRPr="005D26F1">
        <w:rPr>
          <w:rFonts w:asciiTheme="minorHAnsi" w:hAnsiTheme="minorHAnsi" w:cstheme="minorHAnsi"/>
          <w:szCs w:val="24"/>
        </w:rPr>
        <w:t>: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INCONSTITUCIONALIDADE. </w:t>
      </w:r>
      <w:r w:rsidRPr="00D70A95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Lei nº 5.280, de 07 de maio de 2019, do Município de Mogi Guaçu, que alterou a redação do § 3º do art. 41 da Lei Municipal 2083/1987, </w:t>
      </w:r>
      <w:r w:rsidRPr="00D70A95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vedando a cobrança de qualquer valor, taxa ou tarifa a título de religação ou reestabelecimento de serviço de esgoto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Inocorrência de afronta ao art. 25 da Constituição Paulista. Promulgação de lei sem a especificação de dotação orçamentária ou indicação de sua fonte de custeio impede, quando muito, a exequibilidade dentro do mesmo exercício. Inocorrência, também, de vício de iniciativa por invasão da competência privativa do Chefe do Executivo. Matéria que não consta do elenco do art. 24, § 2º, da Carta Bandeirante.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Inconstitucionalidade da Lei nº 5.280/2019, do Município de Mogi Guaçu, por dispor sobre matéria de iniciativa reservada ao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Alcaide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, qual seja a fixação de tarifa dos serviços públicos e, por conseguinte sua isenção.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Lei benéfica de natureza tributária que enseja a renúncia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de receita e, por conseguinte, acarreta a diminuição da arrecadação aos cofres públicos, de tal sorte a inviabilizar a atuação do Executivo na prestação de serviços essenciais à comunidade.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Ato reservado ao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Alcaide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, consoante os artigos 47, II e XIV, 120 e 159 da Constituição Estadual, aplicáveis aos Municípios por força art. 144 da citada Carta, não podendo o Parlamento legislar sobre o tema, pena de afronta ao princípio da separação de poderes. Ação procedente.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(...)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Mas padece de inconstitucionalidade a Lei nº 5.980, de 07 de maio de 2019, do Município de Mogi Guaçu, ao dispor sobre matéria de iniciativa reservada ao </w:t>
      </w:r>
      <w:r w:rsidRPr="00D70A95">
        <w:rPr>
          <w:rFonts w:asciiTheme="minorHAnsi" w:hAnsiTheme="minorHAnsi" w:cstheme="minorHAnsi"/>
          <w:i/>
          <w:sz w:val="22"/>
          <w:szCs w:val="22"/>
        </w:rPr>
        <w:t>Alcaide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, qual seja a fixação de tarifa dos serviços públicos e, por conseguinte sua isenção, questão que será analisada diante do caráter aberto da causa de pedir nas ações declaratórias de inconstitucionalidade de lei. 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É regra do artigo 120 da Carta Bandeirante que, verbis: 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“Artigo 120 -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Os serviços públicos serão remunerados por tarifa previamente fixada pelo órgão executivo competente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, na forma que a lei estabelecer.” 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No mesmo sentido, o art. 159 da Carta Estadual estabelece que: 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“Artigo 159 - A receita pública será constituída por tributos, preços e outros ingressos.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Parágrafo único - Os preços públicos serão fixados pelo Executivo, observadas as normas gerais de Direito Financeiro e as leis atinentes à espécie.”</w:t>
      </w:r>
      <w:r w:rsidRPr="00D70A95">
        <w:rPr>
          <w:rFonts w:asciiTheme="minorHAnsi" w:hAnsiTheme="minorHAnsi" w:cstheme="minorHAnsi"/>
          <w:i/>
          <w:sz w:val="22"/>
          <w:szCs w:val="22"/>
        </w:rPr>
        <w:t>.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70A95">
        <w:rPr>
          <w:rFonts w:asciiTheme="minorHAnsi" w:hAnsiTheme="minorHAnsi" w:cstheme="minorHAnsi"/>
          <w:b/>
          <w:i/>
          <w:sz w:val="22"/>
          <w:szCs w:val="22"/>
        </w:rPr>
        <w:t>De igual modo deve-se interpretar que se ao Poder Executivo compete fixar preços públicos é de sua competência, também, estabelecer a isenção de tarifas, dentro de seus critérios de conveniência e oportunidade. (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gn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Neste sentido já se manifestou o C. Órgão Especial, na oportunidade do julgamento da Direta de Inconstitucionalidade nº 2051184-68.2017.8.26, j. </w:t>
      </w:r>
      <w:r w:rsidRPr="00D70A95">
        <w:rPr>
          <w:rFonts w:asciiTheme="minorHAnsi" w:hAnsiTheme="minorHAnsi" w:cstheme="minorHAnsi"/>
          <w:i/>
          <w:sz w:val="22"/>
          <w:szCs w:val="22"/>
        </w:rPr>
        <w:t>em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09/08/2017, Rel. Desembargador TRISTÃO RIBEIRO, donde se colhe: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"(...)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Nesse sentido, em seu parecer nos autos, a douta Procuradoria Geral de Justiça bem asseverou o seguinte: 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b/>
          <w:i/>
          <w:sz w:val="22"/>
          <w:szCs w:val="22"/>
        </w:rPr>
        <w:t>'Cabe privativamente ao Poder Executivo a regulamentação, quer dos serviços públicos, quer do regime tarifário estabelecido para sua contraprestação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b/>
          <w:i/>
          <w:sz w:val="22"/>
          <w:szCs w:val="22"/>
        </w:rPr>
        <w:t>Ao prever a competência do órgão executivo competente para fixação da tarifa, tal inclui alterações, isenções, forma de cálculo, etc</w:t>
      </w:r>
      <w:r w:rsidRPr="00D70A95">
        <w:rPr>
          <w:rFonts w:asciiTheme="minorHAnsi" w:hAnsiTheme="minorHAnsi" w:cstheme="minorHAnsi"/>
          <w:i/>
          <w:sz w:val="22"/>
          <w:szCs w:val="22"/>
        </w:rPr>
        <w:t>., e, portanto, a regulamentação da forma de cálculo por ato normativo do Poder Legislativo, de iniciativa parlamentar, viola a cláusula da separação de poderes constante do art. 5º da Constituição Estadual.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Trata-se de reserva de ato da Administração à luz do art. 47, II e XIV, da Constituição do Estado, corroborado pelos arts. 119, 120 e 122, da Carta Política Paulista, todos aplicáveis aos Municípios por obra do art. 144 da Constituição Estadual.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 O Executivo não deve sofrer indevida interferência em sua primacial função de administrar (planejamento, direção, organização e execução das atividades da Administração).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Assim, quando o Poder Legislativo edita regulamentando, ainda que parcialmente, forma de cálculo de tarifa de serviço público,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extinguindo algumas modalidades de cobrança, como ocorre, no caso em exame, invade, indevidamente, esfera que é própria da atividade do Administrador Público, violando o princípio da separação de poderes”. (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gn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20351B" w:rsidRPr="00D70A95" w:rsidP="0020351B">
      <w:pPr>
        <w:spacing w:after="120"/>
        <w:ind w:left="255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A respeito do tema, assim também decidiu este Colendo Órgão Especial: 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AÇÃO DIRETA DE INCONSTITUCIONALIDADE Pretensão que envolve a Lei nº 2.829, de 29 de dezembro de 2016, do município de Itirapina, que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"institui a tarifa social para fornecimento de água e coleta de esgoto sanitário, destinado a aposentados, pensionistas, idosos, empregados, portadores de necessidade especial e cidadãos que comprovem baixa renda familiar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" - Interesse local que se encontra dentro das atribuições constitucionais do município -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 xml:space="preserve">Texto legal que envolve prestação de serviços públicos e a instituição da respectiva tarifação, o que se encontra dentro da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 xml:space="preserve">competência exclusiva do Poder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Executivo - Iniciativa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 xml:space="preserve"> de lei pelo Poder Legislativo sobre o tema que ofende o princípio da separação de poderes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70A95">
        <w:rPr>
          <w:rFonts w:asciiTheme="minorHAnsi" w:hAnsiTheme="minorHAnsi" w:cstheme="minorHAnsi"/>
          <w:b/>
          <w:i/>
          <w:sz w:val="22"/>
          <w:szCs w:val="22"/>
        </w:rPr>
        <w:t>Serviço que é cobrado por tarifa, cuja natureza é administrativa -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Observância os arts. </w:t>
      </w:r>
      <w:r w:rsidRPr="00D70A95">
        <w:rPr>
          <w:rFonts w:asciiTheme="minorHAnsi" w:hAnsiTheme="minorHAnsi" w:cstheme="minorHAnsi"/>
          <w:i/>
          <w:sz w:val="22"/>
          <w:szCs w:val="22"/>
        </w:rPr>
        <w:t>47, 120, 144 e 159, parágrafo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único, da Constituição do Estado de São Paulo Inviabilidade da criação, pelo Poder Legislativo, de lei autorizativa para atuação do Poder Executivo - Ação procedente. (ADI nº 2000115-94.2017.8.26.0000 São Paulo, TJSP, Órgão Especial, Relator Desembargador Álvaro Passos, j. 26/04/2017). (</w:t>
      </w:r>
      <w:r w:rsidRPr="00D70A95">
        <w:rPr>
          <w:rFonts w:asciiTheme="minorHAnsi" w:hAnsiTheme="minorHAnsi" w:cstheme="minorHAnsi"/>
          <w:i/>
          <w:sz w:val="22"/>
          <w:szCs w:val="22"/>
        </w:rPr>
        <w:t>gn</w:t>
      </w:r>
      <w:r w:rsidRPr="00D70A95">
        <w:rPr>
          <w:rFonts w:asciiTheme="minorHAnsi" w:hAnsiTheme="minorHAnsi" w:cstheme="minorHAnsi"/>
          <w:i/>
          <w:sz w:val="22"/>
          <w:szCs w:val="22"/>
        </w:rPr>
        <w:t>)</w:t>
      </w: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351B" w:rsidRPr="00D70A95" w:rsidP="0020351B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AÇÃO DIRETA DE INCONSTITUCIONALIDADE LEI 3.840. DE 22 DE DEZEMBRO DE 2015, DO MUNICÍPIO DE MIRASSOL QUE DISPÕE SOBRE TARIFA RESIDENCIAL SOCIAL PARA ÁGUA E ESGOTO - AFRONTA AO PRINCÍPIO CONSTITUCIONAL MAIOR DA SEPARAÇÃO DOS PODERES, INVADINDO COMPETÊNCIA EXCLUSIVA DO EXECUTIVO PARA LEGISLAR SOBRE O TEMA, CONFORME SE CONSTATA DOS DISPOSTOS NOS ARTIGOS 120 E 159, § ÚNICO, DA CONSTITUIÇÃO DO ESTADO, TRATANDO AMBOS DA COMPETÊNCIA DE INICIATIVA DO EXECUTIVO PARA DISCIPLINAR A QUESTÃO AÇÃO PROCEDENTE. (ADI nº2002470-14.2016.8.26.0000 São Paulo, TJSP, Órgão Especial, Relator Desembargador Ferraz de Arruda, j. 27/04/2016).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E mais recentemente, confira-se julgado da ADI nº 2089347-83.2018.8.26.0000, j. </w:t>
      </w:r>
      <w:r w:rsidRPr="00D70A95">
        <w:rPr>
          <w:rFonts w:asciiTheme="minorHAnsi" w:hAnsiTheme="minorHAnsi" w:cstheme="minorHAnsi"/>
          <w:i/>
          <w:sz w:val="22"/>
          <w:szCs w:val="22"/>
        </w:rPr>
        <w:t>em</w:t>
      </w:r>
      <w:r w:rsidRPr="00D70A95">
        <w:rPr>
          <w:rFonts w:asciiTheme="minorHAnsi" w:hAnsiTheme="minorHAnsi" w:cstheme="minorHAnsi"/>
          <w:i/>
          <w:sz w:val="22"/>
          <w:szCs w:val="22"/>
        </w:rPr>
        <w:t xml:space="preserve"> 13/02/2019, Rela. Desembargadora CRISTINA ZUCCHI. 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 xml:space="preserve">Assim, por afronta aos arts. 5º, 47, incisos II e XI, 120, 144 e 159 da Constituição Paulista, a inconstitucionalidade da norma é evidente. 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</w:rPr>
        <w:br/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(TJSP. Direta de Inconstitucionalidade 2198161-58.2019.8.26.0000; Relator (a): Xavier de Aquino; Órgão Julgador: Órgão Especial; Tribunal de Justiça de São Paulo - N/A; Data do Julgamento: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29/01/2020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; Data de Registro: 31/01/2020).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G.n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:rsidR="0020351B" w:rsidRPr="00D70A95" w:rsidP="0020351B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- ARTIGO 1º, § 1º, E DA COLUNA 'ESGOTO TRATADO', DA TABELA I, AMBOS DO DECRETO Nº 8.606/2019 DO MUNICÍPIO DE MAUÁ -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FIXAÇÃO OU ALTERAÇÃO DO VALOR DA REMUNERAÇÃO DE SERVIÇOS PÚBLICOS CONSTITUI PRERROGATIVA PRÓPRIA DA RESERVA DE ADMINISTRAÇÃO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ALEGAÇÃO DE INCOMPETÊNCIA DO CHEFE DO PODER EXECUTIVO PARA ALTERAR TARIFAS DO SERVIÇO PÚBLICO DE ÁGUA E ESGOTO POR DECRETO, ESTANDO SUBORDINADO À POLÍTICA TARIFÁRIA INSTITUÍDA PELA AGÊNCIA REGULADORA LOCAL - SUPOSTA CONTRARIEDADE ÀS LEIS Nº 11.445/2007 E Nº 9.074/1995 E EVENTUAL DESEQUILÍBRIO ECONÔMICO-FINANCEIRO DO CONTRATO DE CONCESSÃO QUE NÃO SÃO PASSÍVEIS DE DISCUSSÃO NO ÂMBITO DO CONTROLE ABSTRATO DE CONSTITUCIONALIDADE - OFENSA MERAMENTE REFLEXA À CONSTITUIÇÃO ESTADUAL - INADMISSIBILIDADE - PRELIMINAR ACOLHIDA - EXTINÇÃO DO PROCESSO, SEM RESOLUÇÃO DO MÉRITO, COM FULCRO NO ARTIGO 485, INCISO VI, DO CÓDIGO DE PROCESSO CIVIL". "Não se mostra hábil à instauração da jurisdição constitucional abstrata as arguições de violação ao artigo 47, inciso XIV, da Carta Bandeirante, ao ato jurídico perfeito e ao direito adquirido com fundamento nas Leis nº 11.445/2007 e nº 9.074/1995, pois a ofensa à Constituição do Estado seria, em tese, indireta, fazendo-se necessário o prévio confronto do decreto vergastado não apenas com as supracitadas normas federais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mas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também com atos editados pela autarquia municipal reguladora e o próprio contrato de concessão, cabendo apenas cogitar de ilegalidade ou inconstitucionalidade reflexa, o que não se admite nesta via processual". "A inconstitucionalidade deve transparecer, diretamente, do próprio texto do ato estatal impugnado. A prolação desse juízo de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desvalor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não pode nem deve depender, para efeito de controle normativo abstrato, da prévia análise de outras espécies jurídicas infraconstitucionais, para, somente a partir desse exame e em desdobramento exegético ulterior, efetivar-se o reconhecimento da ilegitimidade constitucional do ato questionado (ADI nº 416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AgR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/ES, Tribunal Pleno, Relator Ministro Celso de Mello)". "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 política tarifária de água e esgoto está inserida na competência privativa do Chefe do Poder Executivo quanto à direção da administração pública municipal, disciplina de serviço público e fixação ou alteração do valor da remuneração devida por sua prestação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". 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(TJSP.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Direta de Inconstitucionalidade 2276262-12.2019.8.26.0000; Relator (a): Renato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Sartorelli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; Órgão Julgador: Órgão Especial; Tribunal de Justiça de São Paulo - N/A; Data do Julgamento: 15/07/2020; Data de Registro: 16/07/2020).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G.n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:rsidR="0020351B" w:rsidRPr="00D70A95" w:rsidP="0020351B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Inconstitucionalidade. Lei nº 2.729, de 03 de maio de 2018, de iniciativa parlamentar, que dispõe "sobre a proibição de cobrança de taxa de religação de energia elétrica e de água, em caso de corte de fornecimento por falta de pagamento".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1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) Política tarifária de energia elétrica. Usurpação da competência privativa da União (interferência nas relações jurídico-contratuais entre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 Poder Concedente Federal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e as empresas concessionárias). Violação do Pacto Federativo (arts. 21, XII, "b", 22, IV e 175 da CF), cuja observância é obrigatória para os Estados e Municípios (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ats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1º e 18º da Constituição Federal e art. 144 da Constituição do Estado). Patente, pois, a incompetência municipal para legislar sobre a matéria. 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2</w:t>
      </w:r>
      <w:r w:rsidRPr="00D70A9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) Política tarifária de água. Norma municipal que, a despeito de tratar de interesse local, invadiu a competência privativa do Chefe do Executivo no exercício da direção da Administração Pública Municipal e da prática dos atos administrativos, de legislar sobre serviço público e de fixar/alterar o valor da remuneração devida por sua prestação. Vício de iniciativa configurado. Ofensa ao princípio da Separação dos Poderes. Violação dos arts. 5º, 47, incisos II, XI, XIV e XVIII, 120, 144 e 159 da Constituição Paulista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 Ação direta julgada procedente, para declarar a inconstitucionalidade da Lei 2.729, de 03 de maio de 2018 do Município de Macatuba. </w:t>
      </w:r>
    </w:p>
    <w:p w:rsidR="0020351B" w:rsidRPr="00D70A95" w:rsidP="002035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(TJSP. Direta de Inconstitucionalidade 2089347-83.2018.8.26.0000; Relator (a): Cristina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Zucchi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; Órgão Julgador: Órgão Especial; Tribunal de Justiça de São Paulo - N/A; Data do Julgamento: 13/02/2019; Data de Registro: 15/02/2019). 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G.n</w:t>
      </w:r>
      <w:r w:rsidRPr="00D70A9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:rsidR="004421CB" w:rsidRPr="00862090" w:rsidP="004421CB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862090">
        <w:rPr>
          <w:rFonts w:ascii="Calibri" w:hAnsi="Calibri" w:cs="Calibri"/>
          <w:szCs w:val="24"/>
        </w:rPr>
        <w:t xml:space="preserve">Noutro aspecto, quanto à exclusão </w:t>
      </w:r>
      <w:r w:rsidR="00C277E7">
        <w:rPr>
          <w:rFonts w:ascii="Calibri" w:hAnsi="Calibri" w:cs="Calibri"/>
          <w:szCs w:val="24"/>
        </w:rPr>
        <w:t xml:space="preserve">o devedor </w:t>
      </w:r>
      <w:r w:rsidR="00A16A6F">
        <w:rPr>
          <w:rFonts w:ascii="Calibri" w:hAnsi="Calibri" w:cs="Calibri"/>
          <w:szCs w:val="24"/>
        </w:rPr>
        <w:t>do</w:t>
      </w:r>
      <w:r w:rsidRPr="00862090">
        <w:rPr>
          <w:rFonts w:ascii="Calibri" w:hAnsi="Calibri" w:cs="Calibri"/>
          <w:szCs w:val="24"/>
        </w:rPr>
        <w:t xml:space="preserve"> REFIS-</w:t>
      </w:r>
      <w:r w:rsidRPr="00862090" w:rsidR="002337C6">
        <w:rPr>
          <w:rFonts w:ascii="Calibri" w:hAnsi="Calibri" w:cs="Calibri"/>
          <w:szCs w:val="24"/>
        </w:rPr>
        <w:t>DAEV</w:t>
      </w:r>
      <w:r w:rsidRPr="00862090">
        <w:rPr>
          <w:rFonts w:ascii="Calibri" w:hAnsi="Calibri" w:cs="Calibri"/>
          <w:szCs w:val="24"/>
        </w:rPr>
        <w:t xml:space="preserve"> cumpre ressaltar que por restringir direitos patrimoniais do </w:t>
      </w:r>
      <w:r w:rsidRPr="00862090" w:rsidR="00862090">
        <w:rPr>
          <w:rFonts w:ascii="Calibri" w:hAnsi="Calibri" w:cs="Calibri"/>
          <w:szCs w:val="24"/>
        </w:rPr>
        <w:t>devedor</w:t>
      </w:r>
      <w:r w:rsidRPr="00862090">
        <w:rPr>
          <w:rFonts w:ascii="Calibri" w:hAnsi="Calibri" w:cs="Calibri"/>
          <w:szCs w:val="24"/>
        </w:rPr>
        <w:t xml:space="preserve"> deverá observar os princípios do contraditório, ampla defesa e devido processo legal.</w:t>
      </w:r>
    </w:p>
    <w:p w:rsidR="004421CB" w:rsidRPr="00862090" w:rsidP="004421CB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862090">
        <w:rPr>
          <w:rFonts w:ascii="Calibri" w:hAnsi="Calibri" w:cs="Calibri"/>
          <w:i/>
          <w:szCs w:val="24"/>
        </w:rPr>
        <w:t>In casu</w:t>
      </w:r>
      <w:r w:rsidRPr="00862090">
        <w:rPr>
          <w:rFonts w:ascii="Calibri" w:hAnsi="Calibri" w:cs="Calibri"/>
          <w:szCs w:val="24"/>
        </w:rPr>
        <w:t xml:space="preserve">, salientamos que a exclusão do </w:t>
      </w:r>
      <w:r w:rsidRPr="00862090" w:rsidR="00862090">
        <w:rPr>
          <w:rFonts w:ascii="Calibri" w:hAnsi="Calibri" w:cs="Calibri"/>
          <w:szCs w:val="24"/>
        </w:rPr>
        <w:t>devedor</w:t>
      </w:r>
      <w:r w:rsidRPr="00862090">
        <w:rPr>
          <w:rFonts w:ascii="Calibri" w:hAnsi="Calibri" w:cs="Calibri"/>
          <w:szCs w:val="24"/>
        </w:rPr>
        <w:t xml:space="preserve"> do programa de consubstancia o exercício da autotutela estatal que deve ocorrer por meio de procedimento administrativo que confira àqueles que eventualmente venham a ser </w:t>
      </w:r>
      <w:r w:rsidRPr="00862090">
        <w:rPr>
          <w:rFonts w:ascii="Calibri" w:hAnsi="Calibri" w:cs="Calibri"/>
          <w:szCs w:val="24"/>
        </w:rPr>
        <w:t>atingidos</w:t>
      </w:r>
      <w:r w:rsidRPr="00862090">
        <w:rPr>
          <w:rFonts w:ascii="Calibri" w:hAnsi="Calibri" w:cs="Calibri"/>
          <w:szCs w:val="24"/>
        </w:rPr>
        <w:t xml:space="preserve"> pela decisão de exclusão a oportunidade de manifestação prévia, observados os desdobramentos da ampla defesa. Nesse sentido:</w:t>
      </w:r>
    </w:p>
    <w:p w:rsidR="004421CB" w:rsidRPr="00862090" w:rsidP="004421CB">
      <w:pPr>
        <w:ind w:left="2268"/>
        <w:jc w:val="both"/>
        <w:rPr>
          <w:rFonts w:ascii="Calibri" w:hAnsi="Calibri" w:cs="Calibri"/>
          <w:i/>
          <w:iCs/>
          <w:sz w:val="22"/>
          <w:szCs w:val="22"/>
        </w:rPr>
      </w:pPr>
      <w:r w:rsidRPr="00862090">
        <w:rPr>
          <w:rFonts w:ascii="Calibri" w:hAnsi="Calibri" w:cs="Calibri"/>
          <w:i/>
          <w:iCs/>
          <w:sz w:val="22"/>
          <w:szCs w:val="22"/>
        </w:rPr>
        <w:t>Decisão: O Tribunal, por unanimidade, apreciando o tema 668 da repercussão geral, negou provimento ao recurso extraordinário, nos termos do voto do Relator. Foi fixada a seguinte tese: "</w:t>
      </w:r>
      <w:r w:rsidRPr="00862090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É inconstitucional o art. 1º da Resolução CG/REFIS nº 20/2001, no que suprimiu a notificação da pessoa jurídica optante </w:t>
      </w:r>
      <w:r w:rsidRPr="00862090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do REFIS</w:t>
      </w:r>
      <w:r w:rsidRPr="00862090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, prévia ao ato de exclusão</w:t>
      </w:r>
      <w:r w:rsidRPr="00862090">
        <w:rPr>
          <w:rFonts w:ascii="Calibri" w:hAnsi="Calibri" w:cs="Calibri"/>
          <w:i/>
          <w:iCs/>
          <w:sz w:val="22"/>
          <w:szCs w:val="22"/>
        </w:rPr>
        <w:t>".</w:t>
      </w:r>
      <w:r w:rsidRPr="00862090">
        <w:rPr>
          <w:rFonts w:ascii="Calibri" w:hAnsi="Calibri" w:cs="Calibri"/>
          <w:sz w:val="22"/>
          <w:szCs w:val="22"/>
        </w:rPr>
        <w:t xml:space="preserve"> 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STF. Plenário. RE 669196/DF, Rel. Min. Dias </w:t>
      </w:r>
      <w:r w:rsidRPr="00862090">
        <w:rPr>
          <w:rFonts w:ascii="Calibri" w:hAnsi="Calibri" w:cs="Calibri"/>
          <w:i/>
          <w:iCs/>
          <w:sz w:val="22"/>
          <w:szCs w:val="22"/>
        </w:rPr>
        <w:t>Toffoli</w:t>
      </w:r>
      <w:r w:rsidRPr="00862090">
        <w:rPr>
          <w:rFonts w:ascii="Calibri" w:hAnsi="Calibri" w:cs="Calibri"/>
          <w:i/>
          <w:iCs/>
          <w:sz w:val="22"/>
          <w:szCs w:val="22"/>
        </w:rPr>
        <w:t>, julgado em 23/10/2020 (Repercussão Geral – Tema 668) (Info 996).</w:t>
      </w:r>
    </w:p>
    <w:p w:rsidR="004421CB" w:rsidRPr="00862090" w:rsidP="004421CB">
      <w:pPr>
        <w:spacing w:line="360" w:lineRule="auto"/>
        <w:ind w:firstLine="170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</w:t>
      </w:r>
      <w:r w:rsidRPr="00862090">
        <w:rPr>
          <w:rFonts w:ascii="Calibri" w:hAnsi="Calibri" w:cs="Calibri"/>
          <w:szCs w:val="24"/>
        </w:rPr>
        <w:t xml:space="preserve"> mesmo</w:t>
      </w:r>
      <w:r w:rsidR="00A16A6F">
        <w:rPr>
          <w:rFonts w:ascii="Calibri" w:hAnsi="Calibri" w:cs="Calibri"/>
          <w:szCs w:val="24"/>
        </w:rPr>
        <w:t xml:space="preserve"> diapasão</w:t>
      </w:r>
      <w:r>
        <w:rPr>
          <w:rFonts w:ascii="Calibri" w:hAnsi="Calibri" w:cs="Calibri"/>
          <w:szCs w:val="24"/>
        </w:rPr>
        <w:t xml:space="preserve"> decisão</w:t>
      </w:r>
      <w:r w:rsidRPr="0086209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</w:t>
      </w:r>
      <w:r w:rsidRPr="00862090">
        <w:rPr>
          <w:rFonts w:ascii="Calibri" w:hAnsi="Calibri" w:cs="Calibri"/>
          <w:szCs w:val="24"/>
        </w:rPr>
        <w:t xml:space="preserve">o Superior Tribunal de Justiça: </w:t>
      </w:r>
    </w:p>
    <w:p w:rsidR="004421CB" w:rsidRPr="00862090" w:rsidP="004421CB">
      <w:pPr>
        <w:ind w:left="2268"/>
        <w:jc w:val="both"/>
        <w:rPr>
          <w:rFonts w:ascii="Calibri" w:hAnsi="Calibri" w:cs="Calibri"/>
          <w:i/>
          <w:sz w:val="20"/>
        </w:rPr>
      </w:pPr>
      <w:r w:rsidRPr="00862090">
        <w:rPr>
          <w:rFonts w:ascii="Calibri" w:hAnsi="Calibri" w:cs="Calibri"/>
          <w:i/>
          <w:iCs/>
          <w:sz w:val="22"/>
          <w:szCs w:val="22"/>
        </w:rPr>
        <w:t xml:space="preserve">RECURSO ESPECIAL Nº 1.586.687 - DF (2016/0062758-6) </w:t>
      </w:r>
      <w:r w:rsidRPr="00862090">
        <w:rPr>
          <w:rFonts w:ascii="Calibri" w:hAnsi="Calibri" w:cs="Calibri"/>
          <w:i/>
          <w:iCs/>
          <w:sz w:val="22"/>
          <w:szCs w:val="22"/>
        </w:rPr>
        <w:t>RELATORA :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 MINISTRA DIVA MALERBI (DESEMBARGADORA CONVOCADA TRF 3ª REGIÃO) RECORRENTE : FAZENDA NACIONAL RECORRIDO : INDUSTRIA OPTICA BREVIL LTDA ADVOGADO : JOSE ROBERTO SILVEIRA BATISTA E OUTRO(S) DECISÃO Vistos. Trata-se de recurso especial interposto contra acórdão publicado na vigência do Código de Processo Civil de 1973, assim ementado: PROCESSUAL CIVIL. TRIBUTÁRIO. EXCLUSÃO DO PROGRAMA DE RECUPERAÇÃO FISCAL - REFIS. RESOLUÇÃO CO/REFIS 20 DE 2001. OFENSA ÀS GARANTIAS E AOS PRINCÍPIOS </w:t>
      </w:r>
      <w:r w:rsidRPr="00862090">
        <w:rPr>
          <w:rFonts w:ascii="Calibri" w:hAnsi="Calibri" w:cs="Calibri"/>
          <w:i/>
          <w:iCs/>
          <w:sz w:val="22"/>
          <w:szCs w:val="22"/>
        </w:rPr>
        <w:t>CONSTITUCIONAIS DO DEVIDO PROCESSO LEGAL, CONTRADITÓRIO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 E AMPLA DEFESA. INCIDENTE DE INCONSTITUCIONALIDADE SUSCITADO. RESERVA DE PLENÁRIO. ARGUIÇÃO ACOLHIDA PELA CORTE ESPECIAL DO TRF/1ª REGIÃO. SENTENÇA REFORMADA. </w:t>
      </w:r>
      <w:r w:rsidRPr="00862090">
        <w:rPr>
          <w:rFonts w:ascii="Calibri" w:hAnsi="Calibri" w:cs="Calibri"/>
          <w:b/>
          <w:i/>
          <w:iCs/>
          <w:sz w:val="22"/>
          <w:szCs w:val="22"/>
          <w:u w:val="single"/>
        </w:rPr>
        <w:t>I- Afigura-se inconstitucional a Resolução CG/REFIS 20 de 2001, que alterou a Resolução CG/REFIS 9/2001, por ofensa aos princípios constitucionais do devido processo legal, da ampla defesa e do contraditório, bem como às garantias estabelecidas no art. 37 da CF/1988,</w:t>
      </w:r>
      <w:r w:rsidRPr="00862090">
        <w:rPr>
          <w:rFonts w:ascii="Calibri" w:hAnsi="Calibri" w:cs="Calibri"/>
          <w:i/>
          <w:sz w:val="22"/>
          <w:szCs w:val="22"/>
        </w:rPr>
        <w:t xml:space="preserve"> 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conforme decidiu a colenda Corte Especial deste Tribunal, no Incidente de Inconstitucionalidade n. 2007.34.00.022211-3/DF, publicado no e-DJF1, em 16/11/2009. II- No caso dos autos, portanto, tem-se por inválida a intimação da empresa 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apelante, realizada pelo Diário Oficial ou pela Internet, e ilegal o ato de exclusão do Programa de Recuperação Fiscal - REFIS. Prevalência do controle difuso de constitucionalidade sobre decisões judiciais tomadas no plano da </w:t>
      </w:r>
      <w:r w:rsidRPr="00862090">
        <w:rPr>
          <w:rFonts w:ascii="Calibri" w:hAnsi="Calibri" w:cs="Calibri"/>
          <w:i/>
          <w:iCs/>
          <w:sz w:val="22"/>
          <w:szCs w:val="22"/>
        </w:rPr>
        <w:t>infraconstitucionalidade</w:t>
      </w:r>
      <w:r w:rsidRPr="00862090">
        <w:rPr>
          <w:rFonts w:ascii="Calibri" w:hAnsi="Calibri" w:cs="Calibri"/>
          <w:i/>
          <w:iCs/>
          <w:sz w:val="22"/>
          <w:szCs w:val="22"/>
        </w:rPr>
        <w:t xml:space="preserve">. III- Apelação provida. </w:t>
      </w:r>
      <w:r w:rsidRPr="00862090">
        <w:rPr>
          <w:rFonts w:ascii="Calibri" w:hAnsi="Calibri" w:cs="Calibri"/>
          <w:b/>
          <w:i/>
          <w:iCs/>
          <w:sz w:val="22"/>
          <w:szCs w:val="22"/>
          <w:u w:val="single"/>
        </w:rPr>
        <w:t>Sentença reformada para determinar a reintegração da empresa impetrante no Programa de Recuperação Fiscal - Refis, restando-lhe asseguradas as garantias e os princípios constitucionais do devido processo legal, do contraditório e da ampla defesa para fins de eventual procedimento de exclusão</w:t>
      </w:r>
      <w:r w:rsidRPr="00862090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62090">
        <w:rPr>
          <w:rFonts w:ascii="Calibri" w:hAnsi="Calibri" w:cs="Calibri"/>
          <w:i/>
          <w:sz w:val="22"/>
          <w:szCs w:val="22"/>
        </w:rPr>
        <w:t xml:space="preserve"> </w:t>
      </w:r>
      <w:r w:rsidRPr="00862090">
        <w:rPr>
          <w:rFonts w:ascii="Calibri" w:hAnsi="Calibri" w:cs="Calibri"/>
          <w:i/>
          <w:iCs/>
          <w:sz w:val="20"/>
        </w:rPr>
        <w:t xml:space="preserve">(STJ - </w:t>
      </w:r>
      <w:r w:rsidRPr="00862090">
        <w:rPr>
          <w:rFonts w:ascii="Calibri" w:hAnsi="Calibri" w:cs="Calibri"/>
          <w:i/>
          <w:iCs/>
          <w:sz w:val="20"/>
        </w:rPr>
        <w:t>REsp</w:t>
      </w:r>
      <w:r w:rsidRPr="00862090">
        <w:rPr>
          <w:rFonts w:ascii="Calibri" w:hAnsi="Calibri" w:cs="Calibri"/>
          <w:i/>
          <w:iCs/>
          <w:sz w:val="20"/>
        </w:rPr>
        <w:t>: 1586687 DF 2016/0062758-6, Relator: Ministra DIVA MALERBI (DESEMBARGADORA CONVOCADA TRF 3ª REGIÃO), Data de Publicação: DJ 21/06/2016)</w:t>
      </w:r>
    </w:p>
    <w:p w:rsidR="004421CB" w:rsidRPr="00862090" w:rsidP="004421CB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u w:val="single"/>
        </w:rPr>
      </w:pPr>
      <w:r w:rsidRPr="00862090">
        <w:rPr>
          <w:rFonts w:ascii="Calibri" w:hAnsi="Calibri" w:cs="Calibri"/>
          <w:szCs w:val="24"/>
          <w:u w:val="single"/>
        </w:rPr>
        <w:t xml:space="preserve">Deste modo, s.m.j., sugerimos a inclusão de dispositivo estabelecendo que </w:t>
      </w:r>
      <w:r w:rsidR="00A16A6F">
        <w:rPr>
          <w:rFonts w:ascii="Calibri" w:hAnsi="Calibri" w:cs="Calibri"/>
          <w:szCs w:val="24"/>
          <w:u w:val="single"/>
        </w:rPr>
        <w:t>o devedor do</w:t>
      </w:r>
      <w:r w:rsidR="00C277E7">
        <w:rPr>
          <w:rFonts w:ascii="Calibri" w:hAnsi="Calibri" w:cs="Calibri"/>
          <w:szCs w:val="24"/>
          <w:u w:val="single"/>
        </w:rPr>
        <w:t xml:space="preserve"> Refis-DAEV</w:t>
      </w:r>
      <w:r w:rsidR="00862090">
        <w:rPr>
          <w:rFonts w:ascii="Calibri" w:hAnsi="Calibri" w:cs="Calibri"/>
          <w:szCs w:val="24"/>
          <w:u w:val="single"/>
        </w:rPr>
        <w:t xml:space="preserve"> seja notificado previamente à exclusão </w:t>
      </w:r>
      <w:r w:rsidR="00A16A6F">
        <w:rPr>
          <w:rFonts w:ascii="Calibri" w:hAnsi="Calibri" w:cs="Calibri"/>
          <w:szCs w:val="24"/>
          <w:u w:val="single"/>
        </w:rPr>
        <w:t xml:space="preserve">do </w:t>
      </w:r>
      <w:bookmarkStart w:id="0" w:name="_GoBack"/>
      <w:r w:rsidR="00A16A6F">
        <w:rPr>
          <w:rFonts w:ascii="Calibri" w:hAnsi="Calibri" w:cs="Calibri"/>
          <w:szCs w:val="24"/>
          <w:u w:val="single"/>
        </w:rPr>
        <w:t>programa</w:t>
      </w:r>
      <w:bookmarkEnd w:id="0"/>
      <w:r w:rsidRPr="00862090">
        <w:rPr>
          <w:rFonts w:ascii="Calibri" w:hAnsi="Calibri" w:cs="Calibri"/>
          <w:szCs w:val="24"/>
          <w:u w:val="single"/>
        </w:rPr>
        <w:t xml:space="preserve">. </w:t>
      </w:r>
    </w:p>
    <w:p w:rsidR="004421CB" w:rsidRPr="002337C6" w:rsidP="004421CB">
      <w:pPr>
        <w:pStyle w:val="NormalWeb"/>
        <w:spacing w:after="240" w:afterAutospacing="0" w:line="360" w:lineRule="auto"/>
        <w:ind w:firstLine="1701"/>
        <w:jc w:val="both"/>
        <w:rPr>
          <w:rFonts w:ascii="Calibri" w:hAnsi="Calibri" w:cs="Calibri"/>
          <w:color w:val="FF0000"/>
        </w:rPr>
      </w:pPr>
      <w:r w:rsidRPr="002337C6">
        <w:rPr>
          <w:rFonts w:ascii="Calibri" w:hAnsi="Calibri" w:cs="Calibr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4421CB" w:rsidRPr="00C277E7" w:rsidP="004421CB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C277E7">
        <w:rPr>
          <w:rFonts w:ascii="Calibri" w:hAnsi="Calibri" w:cs="Calibri"/>
          <w:szCs w:val="24"/>
        </w:rPr>
        <w:t xml:space="preserve">Ante todo o exposto, </w:t>
      </w:r>
      <w:r w:rsidRPr="00C277E7" w:rsidR="002D27A9">
        <w:rPr>
          <w:rFonts w:ascii="Calibri" w:hAnsi="Calibri" w:cs="Calibri"/>
          <w:szCs w:val="24"/>
        </w:rPr>
        <w:t>opinamos pela</w:t>
      </w:r>
      <w:r w:rsidRPr="00C277E7">
        <w:rPr>
          <w:rFonts w:ascii="Calibri" w:hAnsi="Calibri" w:cs="Calibri"/>
          <w:szCs w:val="24"/>
        </w:rPr>
        <w:t xml:space="preserve"> co</w:t>
      </w:r>
      <w:r w:rsidRPr="00C277E7" w:rsidR="002D27A9">
        <w:rPr>
          <w:rFonts w:ascii="Calibri" w:hAnsi="Calibri" w:cs="Calibri"/>
          <w:szCs w:val="24"/>
        </w:rPr>
        <w:t>nstitucion</w:t>
      </w:r>
      <w:r w:rsidRPr="00C277E7" w:rsidR="00C277E7">
        <w:rPr>
          <w:rFonts w:ascii="Calibri" w:hAnsi="Calibri" w:cs="Calibri"/>
          <w:szCs w:val="24"/>
        </w:rPr>
        <w:t xml:space="preserve">alidade e legalidade do projeto, ressaltando-se sugestão </w:t>
      </w:r>
      <w:r w:rsidR="00A16A6F">
        <w:rPr>
          <w:rFonts w:ascii="Calibri" w:hAnsi="Calibri" w:cs="Calibri"/>
          <w:szCs w:val="24"/>
        </w:rPr>
        <w:t>de</w:t>
      </w:r>
      <w:r w:rsidRPr="00C277E7" w:rsidR="00C277E7">
        <w:rPr>
          <w:rFonts w:ascii="Calibri" w:hAnsi="Calibri" w:cs="Calibri"/>
          <w:szCs w:val="24"/>
        </w:rPr>
        <w:t xml:space="preserve"> inclusão de dispositivo estabelecendo que o </w:t>
      </w:r>
      <w:r w:rsidR="00A16A6F">
        <w:rPr>
          <w:rFonts w:ascii="Calibri" w:hAnsi="Calibri" w:cs="Calibri"/>
          <w:szCs w:val="24"/>
        </w:rPr>
        <w:t>devedor do</w:t>
      </w:r>
      <w:r w:rsidRPr="00C277E7" w:rsidR="00C277E7">
        <w:rPr>
          <w:rFonts w:ascii="Calibri" w:hAnsi="Calibri" w:cs="Calibri"/>
          <w:szCs w:val="24"/>
        </w:rPr>
        <w:t xml:space="preserve"> Refis-DAEV seja notificado previamente à exclusão do programa.</w:t>
      </w:r>
      <w:r w:rsidRPr="00C277E7">
        <w:rPr>
          <w:rFonts w:ascii="Calibri" w:hAnsi="Calibri" w:cs="Calibri"/>
          <w:szCs w:val="24"/>
        </w:rPr>
        <w:t xml:space="preserve"> Sobre o mérito, o Plenário é soberano.</w:t>
      </w:r>
    </w:p>
    <w:p w:rsidR="004421CB" w:rsidRPr="00C277E7" w:rsidP="004421CB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C277E7">
        <w:rPr>
          <w:rFonts w:ascii="Calibri" w:hAnsi="Calibri" w:cs="Calibri"/>
          <w:szCs w:val="24"/>
        </w:rPr>
        <w:t>É o parecer.</w:t>
      </w:r>
    </w:p>
    <w:p w:rsidR="005D54F2" w:rsidRPr="00C277E7" w:rsidP="004421CB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C277E7">
        <w:rPr>
          <w:rFonts w:ascii="Calibri" w:hAnsi="Calibri" w:cs="Calibri"/>
          <w:szCs w:val="24"/>
        </w:rPr>
        <w:t xml:space="preserve">Procuradoria, </w:t>
      </w:r>
      <w:r w:rsidRPr="00C277E7" w:rsidR="00862090">
        <w:rPr>
          <w:rFonts w:ascii="Calibri" w:hAnsi="Calibri" w:cs="Calibri"/>
          <w:szCs w:val="24"/>
        </w:rPr>
        <w:t>06</w:t>
      </w:r>
      <w:r w:rsidRPr="00C277E7">
        <w:rPr>
          <w:rFonts w:ascii="Calibri" w:hAnsi="Calibri" w:cs="Calibri"/>
          <w:szCs w:val="24"/>
        </w:rPr>
        <w:t xml:space="preserve"> de </w:t>
      </w:r>
      <w:r w:rsidRPr="00C277E7" w:rsidR="00DD6D04">
        <w:rPr>
          <w:rFonts w:ascii="Calibri" w:hAnsi="Calibri" w:cs="Calibri"/>
          <w:szCs w:val="24"/>
        </w:rPr>
        <w:t>maio</w:t>
      </w:r>
      <w:r w:rsidRPr="00C277E7">
        <w:rPr>
          <w:rFonts w:ascii="Calibri" w:hAnsi="Calibri" w:cs="Calibri"/>
          <w:szCs w:val="24"/>
        </w:rPr>
        <w:t xml:space="preserve"> de 2022.</w:t>
      </w:r>
    </w:p>
    <w:p w:rsidR="004421CB" w:rsidRPr="002337C6" w:rsidP="005D54F2">
      <w:pPr>
        <w:pStyle w:val="BodyText"/>
        <w:spacing w:line="360" w:lineRule="auto"/>
        <w:jc w:val="both"/>
        <w:rPr>
          <w:rFonts w:ascii="Calibri" w:hAnsi="Calibri" w:cs="Calibri"/>
          <w:szCs w:val="24"/>
        </w:rPr>
      </w:pPr>
    </w:p>
    <w:p w:rsidR="005D54F2" w:rsidRPr="002337C6" w:rsidP="005D54F2">
      <w:pPr>
        <w:pStyle w:val="BodyText"/>
        <w:spacing w:after="0" w:line="240" w:lineRule="auto"/>
        <w:ind w:firstLine="709"/>
        <w:jc w:val="center"/>
        <w:rPr>
          <w:rFonts w:ascii="Calibri" w:hAnsi="Calibri" w:cs="Calibri"/>
          <w:b/>
          <w:szCs w:val="24"/>
        </w:rPr>
      </w:pPr>
      <w:r w:rsidRPr="002337C6">
        <w:rPr>
          <w:rFonts w:ascii="Calibri" w:hAnsi="Calibri" w:cs="Calibri"/>
          <w:b/>
          <w:szCs w:val="24"/>
        </w:rPr>
        <w:t>Rosemeire de Souza Cardoso Barbosa</w:t>
      </w:r>
    </w:p>
    <w:p w:rsidR="005D54F2" w:rsidRPr="002337C6" w:rsidP="005D54F2">
      <w:pPr>
        <w:pStyle w:val="BodyText"/>
        <w:spacing w:after="0" w:line="240" w:lineRule="auto"/>
        <w:ind w:firstLine="709"/>
        <w:jc w:val="center"/>
        <w:rPr>
          <w:rFonts w:ascii="Calibri" w:hAnsi="Calibri" w:cs="Calibri"/>
          <w:b/>
          <w:szCs w:val="24"/>
        </w:rPr>
      </w:pPr>
      <w:r w:rsidRPr="002337C6">
        <w:rPr>
          <w:rFonts w:ascii="Calibri" w:hAnsi="Calibri" w:cs="Calibri"/>
          <w:b/>
          <w:szCs w:val="24"/>
        </w:rPr>
        <w:t>Procuradora – OAB/SP 308.298</w:t>
      </w:r>
    </w:p>
    <w:p w:rsidR="00387C85" w:rsidRPr="002337C6" w:rsidP="002337C6">
      <w:pPr>
        <w:pStyle w:val="BodyText"/>
        <w:spacing w:after="0" w:line="240" w:lineRule="auto"/>
        <w:ind w:firstLine="709"/>
        <w:jc w:val="center"/>
        <w:rPr>
          <w:rFonts w:ascii="Calibri" w:hAnsi="Calibri" w:cs="Calibri"/>
        </w:rPr>
      </w:pPr>
      <w:r w:rsidRPr="002337C6">
        <w:rPr>
          <w:rFonts w:ascii="Calibri" w:hAnsi="Calibri" w:cs="Calibri"/>
          <w:szCs w:val="24"/>
        </w:rPr>
        <w:t>Assinado digitalmente</w:t>
      </w:r>
    </w:p>
    <w:sectPr w:rsidSect="00C277E7">
      <w:headerReference w:type="default" r:id="rId4"/>
      <w:footerReference w:type="default" r:id="rId5"/>
      <w:pgSz w:w="11906" w:h="16838"/>
      <w:pgMar w:top="280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296574"/>
      <w:docPartObj>
        <w:docPartGallery w:val="Page Numbers (Bottom of Page)"/>
        <w:docPartUnique/>
      </w:docPartObj>
    </w:sdtPr>
    <w:sdtContent>
      <w:sdt>
        <w:sdtPr>
          <w:id w:val="-1036495249"/>
          <w:docPartObj>
            <w:docPartGallery w:val="Page Numbers (Top of Page)"/>
            <w:docPartUnique/>
          </w:docPartObj>
        </w:sdtPr>
        <w:sdtContent>
          <w:sdt>
            <w:sdtPr>
              <w:id w:val="12204809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24123576"/>
                  <w:docPartObj>
                    <w:docPartGallery w:val="Page Numbers (Top of Page)"/>
                    <w:docPartUnique/>
                  </w:docPartObj>
                </w:sdtPr>
                <w:sdtContent>
                  <w:p w:rsidR="00C277E7" w:rsidP="004421CB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C277E7" w:rsidP="004421C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C277E7" w:rsidP="004421CB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C277E7" w:rsidP="004421C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0031">
              <w:rPr>
                <w:b/>
                <w:bCs/>
                <w:noProof/>
                <w:sz w:val="18"/>
                <w:szCs w:val="18"/>
              </w:rPr>
              <w:t>10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0031">
              <w:rPr>
                <w:b/>
                <w:bCs/>
                <w:noProof/>
                <w:sz w:val="18"/>
                <w:szCs w:val="18"/>
              </w:rPr>
              <w:t>10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7E7" w:rsidP="004421CB">
    <w:pPr>
      <w:pStyle w:val="Header"/>
      <w:jc w:val="center"/>
      <w:rPr>
        <w:b/>
        <w:sz w:val="26"/>
        <w:lang w:val="pt-PT"/>
      </w:rPr>
    </w:pPr>
  </w:p>
  <w:p w:rsidR="00C277E7" w:rsidP="004421C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7E7" w:rsidP="004421C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47286529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303382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361578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421CB" w:rsidP="004421C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44232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316945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C277E7" w:rsidP="004421C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277E7" w:rsidP="004421C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C277E7" w:rsidP="00442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160524"/>
    <w:rsid w:val="0020351B"/>
    <w:rsid w:val="002337C6"/>
    <w:rsid w:val="002D27A9"/>
    <w:rsid w:val="00387C85"/>
    <w:rsid w:val="004421CB"/>
    <w:rsid w:val="00470434"/>
    <w:rsid w:val="004C603C"/>
    <w:rsid w:val="005D26F1"/>
    <w:rsid w:val="005D54F2"/>
    <w:rsid w:val="00626D58"/>
    <w:rsid w:val="007264BA"/>
    <w:rsid w:val="00770578"/>
    <w:rsid w:val="007B54FC"/>
    <w:rsid w:val="00862090"/>
    <w:rsid w:val="00916CF0"/>
    <w:rsid w:val="00A16A6F"/>
    <w:rsid w:val="00AB6F7F"/>
    <w:rsid w:val="00B97636"/>
    <w:rsid w:val="00C277E7"/>
    <w:rsid w:val="00D06A92"/>
    <w:rsid w:val="00D33E6F"/>
    <w:rsid w:val="00D70A95"/>
    <w:rsid w:val="00DD6D04"/>
    <w:rsid w:val="00EA3045"/>
    <w:rsid w:val="00F53BEF"/>
    <w:rsid w:val="00F600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4421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4421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nhideWhenUsed/>
    <w:rsid w:val="004421CB"/>
    <w:rPr>
      <w:color w:val="0000FF"/>
      <w:u w:val="single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421CB"/>
    <w:pPr>
      <w:spacing w:after="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42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21CB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4421C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2925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11</cp:revision>
  <dcterms:created xsi:type="dcterms:W3CDTF">2022-05-04T14:13:00Z</dcterms:created>
  <dcterms:modified xsi:type="dcterms:W3CDTF">2022-05-09T18:37:00Z</dcterms:modified>
</cp:coreProperties>
</file>