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779B8" w:rsidRPr="00D75ECD" w:rsidP="00A779B8">
      <w:pPr>
        <w:pStyle w:val="Default"/>
        <w:jc w:val="both"/>
        <w:rPr>
          <w:rFonts w:ascii="Calibri" w:eastAsia="Times New Roman" w:hAnsi="Calibri" w:cs="Calibri"/>
          <w:bCs/>
          <w:color w:val="auto"/>
        </w:rPr>
      </w:pPr>
      <w:r w:rsidRPr="00D75ECD">
        <w:rPr>
          <w:rFonts w:ascii="Calibri" w:hAnsi="Calibri" w:cs="Calibri"/>
          <w:b/>
          <w:color w:val="auto"/>
        </w:rPr>
        <w:t>Parecer Jurídico nº</w:t>
      </w:r>
      <w:r w:rsidRPr="00D75ECD" w:rsidR="00F50ADA">
        <w:rPr>
          <w:rFonts w:ascii="Calibri" w:hAnsi="Calibri" w:cs="Calibri"/>
          <w:b/>
          <w:color w:val="auto"/>
        </w:rPr>
        <w:t xml:space="preserve"> </w:t>
      </w:r>
      <w:r w:rsidR="00C91492">
        <w:rPr>
          <w:rFonts w:ascii="Calibri" w:hAnsi="Calibri" w:cs="Calibri"/>
          <w:b/>
          <w:color w:val="auto"/>
        </w:rPr>
        <w:t>146</w:t>
      </w:r>
      <w:r w:rsidRPr="00D75ECD">
        <w:rPr>
          <w:rFonts w:ascii="Calibri" w:hAnsi="Calibri" w:cs="Calibri"/>
          <w:b/>
          <w:color w:val="auto"/>
        </w:rPr>
        <w:t>/2022.</w:t>
      </w:r>
    </w:p>
    <w:p w:rsidR="00F83AF5" w:rsidP="00F83AF5">
      <w:pPr>
        <w:spacing w:after="0" w:line="240" w:lineRule="auto"/>
        <w:jc w:val="both"/>
        <w:rPr>
          <w:rFonts w:ascii="Calibri" w:hAnsi="Calibri" w:cs="Calibri"/>
          <w:b/>
          <w:bCs/>
          <w:szCs w:val="24"/>
        </w:rPr>
      </w:pPr>
      <w:r w:rsidRPr="00DA5745">
        <w:rPr>
          <w:rFonts w:ascii="Calibri" w:hAnsi="Calibri" w:cs="Calibri"/>
          <w:b/>
          <w:bCs/>
          <w:szCs w:val="24"/>
        </w:rPr>
        <w:t xml:space="preserve">Assunto: </w:t>
      </w:r>
      <w:r w:rsidR="00D26629">
        <w:rPr>
          <w:rFonts w:ascii="Calibri" w:hAnsi="Calibri" w:cs="Calibri"/>
          <w:b/>
          <w:bCs/>
          <w:szCs w:val="24"/>
        </w:rPr>
        <w:t>Emenda 02</w:t>
      </w:r>
      <w:r>
        <w:rPr>
          <w:rFonts w:ascii="Calibri" w:hAnsi="Calibri" w:cs="Calibri"/>
          <w:b/>
          <w:bCs/>
          <w:szCs w:val="24"/>
        </w:rPr>
        <w:t xml:space="preserve"> ao</w:t>
      </w:r>
      <w:r w:rsidR="00FC140B">
        <w:rPr>
          <w:rFonts w:ascii="Calibri" w:hAnsi="Calibri" w:cs="Calibri"/>
          <w:b/>
          <w:bCs/>
          <w:szCs w:val="24"/>
        </w:rPr>
        <w:t xml:space="preserve"> </w:t>
      </w:r>
      <w:r w:rsidRPr="00230814" w:rsidR="00FC140B">
        <w:rPr>
          <w:rFonts w:ascii="Calibri" w:hAnsi="Calibri" w:cs="Calibri"/>
          <w:b/>
          <w:bCs/>
        </w:rPr>
        <w:t xml:space="preserve">Projeto de Lei nº </w:t>
      </w:r>
      <w:r w:rsidR="00F50ADA">
        <w:rPr>
          <w:rFonts w:ascii="Calibri" w:hAnsi="Calibri" w:cs="Calibri"/>
          <w:b/>
          <w:bCs/>
        </w:rPr>
        <w:t>53</w:t>
      </w:r>
      <w:r w:rsidR="001604ED">
        <w:rPr>
          <w:rFonts w:ascii="Calibri" w:hAnsi="Calibri" w:cs="Calibri"/>
          <w:b/>
          <w:bCs/>
        </w:rPr>
        <w:t>/2022</w:t>
      </w:r>
      <w:r w:rsidRPr="00230814" w:rsidR="00FC140B">
        <w:rPr>
          <w:rFonts w:ascii="Calibri" w:hAnsi="Calibri" w:cs="Calibri"/>
          <w:b/>
          <w:bCs/>
        </w:rPr>
        <w:t xml:space="preserve"> </w:t>
      </w:r>
      <w:r w:rsidR="00FC140B">
        <w:rPr>
          <w:rFonts w:ascii="Calibri" w:hAnsi="Calibri" w:cs="Calibri"/>
          <w:b/>
          <w:bCs/>
        </w:rPr>
        <w:t xml:space="preserve">que </w:t>
      </w:r>
      <w:r w:rsidRPr="00F32480" w:rsidR="00FC140B">
        <w:rPr>
          <w:rFonts w:ascii="Calibri" w:hAnsi="Calibri" w:cs="Calibri"/>
          <w:b/>
          <w:bCs/>
        </w:rPr>
        <w:t>“</w:t>
      </w:r>
      <w:r w:rsidRPr="000F0E48" w:rsidR="00F50ADA">
        <w:rPr>
          <w:rFonts w:ascii="Calibri" w:hAnsi="Calibri" w:cs="Calibri"/>
          <w:b/>
          <w:bCs/>
          <w:i/>
        </w:rPr>
        <w:t>Estabelece normas, condições, procedimentos e penalidades para a Licença Ágil Responsável – LICENÇA ÁGIL, na forma que especifica</w:t>
      </w:r>
      <w:r w:rsidRPr="00F32480" w:rsidR="00FC140B">
        <w:rPr>
          <w:rFonts w:ascii="Calibri" w:hAnsi="Calibri" w:cs="Calibri"/>
          <w:b/>
          <w:bCs/>
        </w:rPr>
        <w:t>”.</w:t>
      </w:r>
      <w:r w:rsidR="001604ED">
        <w:rPr>
          <w:rFonts w:ascii="Calibri" w:hAnsi="Calibri" w:cs="Calibri"/>
          <w:b/>
          <w:bCs/>
        </w:rPr>
        <w:t xml:space="preserve"> Emenda de a</w:t>
      </w:r>
      <w:r w:rsidRPr="00DA5745">
        <w:rPr>
          <w:rFonts w:ascii="Calibri" w:hAnsi="Calibri" w:cs="Calibri"/>
          <w:b/>
          <w:bCs/>
          <w:szCs w:val="24"/>
        </w:rPr>
        <w:t xml:space="preserve">utoria do Vereador </w:t>
      </w:r>
      <w:r w:rsidR="00F50ADA">
        <w:rPr>
          <w:rFonts w:ascii="Calibri" w:hAnsi="Calibri" w:cs="Calibri"/>
          <w:b/>
          <w:bCs/>
          <w:szCs w:val="24"/>
        </w:rPr>
        <w:t>Gabriel Bueno.</w:t>
      </w:r>
      <w:bookmarkStart w:id="0" w:name="_GoBack"/>
      <w:bookmarkEnd w:id="0"/>
    </w:p>
    <w:p w:rsidR="00F83AF5" w:rsidRPr="00DA5745" w:rsidP="00F83AF5">
      <w:pPr>
        <w:spacing w:after="0" w:line="240" w:lineRule="auto"/>
        <w:jc w:val="both"/>
        <w:rPr>
          <w:rFonts w:ascii="Calibri" w:hAnsi="Calibri" w:cs="Calibri"/>
          <w:b/>
          <w:bCs/>
          <w:szCs w:val="24"/>
        </w:rPr>
      </w:pPr>
      <w:r>
        <w:rPr>
          <w:rFonts w:ascii="Calibri" w:hAnsi="Calibri" w:cs="Calibri"/>
          <w:b/>
          <w:bCs/>
          <w:szCs w:val="24"/>
        </w:rPr>
        <w:t xml:space="preserve">Referência: Processo Legislativo nº </w:t>
      </w:r>
      <w:r w:rsidR="00E91D9C">
        <w:rPr>
          <w:rFonts w:ascii="Calibri" w:hAnsi="Calibri" w:cs="Calibri"/>
          <w:b/>
          <w:bCs/>
          <w:szCs w:val="24"/>
        </w:rPr>
        <w:t>2192/2022.</w:t>
      </w:r>
    </w:p>
    <w:p w:rsidR="00A779B8" w:rsidRPr="00DA5745" w:rsidP="00A779B8">
      <w:pPr>
        <w:pStyle w:val="Default"/>
        <w:jc w:val="both"/>
        <w:rPr>
          <w:rFonts w:ascii="Calibri" w:hAnsi="Calibri" w:cs="Calibri"/>
          <w:b/>
          <w:i/>
          <w:color w:val="auto"/>
        </w:rPr>
      </w:pPr>
    </w:p>
    <w:p w:rsidR="00A779B8" w:rsidP="00A779B8">
      <w:pPr>
        <w:pStyle w:val="Default"/>
        <w:jc w:val="both"/>
        <w:rPr>
          <w:rFonts w:ascii="Calibri" w:hAnsi="Calibri" w:cs="Calibri"/>
          <w:b/>
          <w:i/>
          <w:color w:val="auto"/>
        </w:rPr>
      </w:pPr>
    </w:p>
    <w:p w:rsidR="00A779B8" w:rsidRPr="003A7521" w:rsidP="00A779B8">
      <w:pPr>
        <w:pStyle w:val="Default"/>
        <w:jc w:val="both"/>
        <w:rPr>
          <w:rFonts w:ascii="Calibri" w:hAnsi="Calibri" w:cs="Calibri"/>
          <w:b/>
          <w:i/>
          <w:color w:val="auto"/>
        </w:rPr>
      </w:pPr>
      <w:r w:rsidRPr="003A7521">
        <w:rPr>
          <w:rFonts w:ascii="Calibri" w:hAnsi="Calibri" w:cs="Calibri"/>
          <w:b/>
          <w:i/>
          <w:color w:val="auto"/>
        </w:rPr>
        <w:t>À Comissão de Justiça e Redação</w:t>
      </w:r>
      <w:r>
        <w:rPr>
          <w:rFonts w:ascii="Calibri" w:hAnsi="Calibri" w:cs="Calibri"/>
          <w:b/>
          <w:i/>
          <w:color w:val="auto"/>
        </w:rPr>
        <w:t>,</w:t>
      </w:r>
    </w:p>
    <w:p w:rsidR="00A779B8" w:rsidP="00A779B8">
      <w:pPr>
        <w:pStyle w:val="Default"/>
        <w:jc w:val="both"/>
        <w:rPr>
          <w:rFonts w:ascii="Calibri" w:hAnsi="Calibri" w:cs="Calibri"/>
          <w:b/>
          <w:i/>
          <w:color w:val="auto"/>
        </w:rPr>
      </w:pPr>
      <w:r w:rsidRPr="003A7521">
        <w:rPr>
          <w:rFonts w:ascii="Calibri" w:hAnsi="Calibri" w:cs="Calibri"/>
          <w:b/>
          <w:i/>
          <w:color w:val="auto"/>
        </w:rPr>
        <w:t>Exmo. Presidente Sidmar Rodrigo Toloi</w:t>
      </w:r>
      <w:r>
        <w:rPr>
          <w:rFonts w:ascii="Calibri" w:hAnsi="Calibri" w:cs="Calibri"/>
          <w:b/>
          <w:i/>
          <w:color w:val="auto"/>
        </w:rPr>
        <w:t>.</w:t>
      </w:r>
    </w:p>
    <w:p w:rsidR="00A779B8" w:rsidP="00A779B8">
      <w:pPr>
        <w:pStyle w:val="Default"/>
        <w:jc w:val="both"/>
        <w:rPr>
          <w:rFonts w:ascii="Calibri" w:hAnsi="Calibri" w:cs="Calibri"/>
          <w:b/>
          <w:i/>
          <w:color w:val="auto"/>
        </w:rPr>
      </w:pPr>
    </w:p>
    <w:p w:rsidR="00A779B8" w:rsidP="00A779B8">
      <w:pPr>
        <w:pStyle w:val="Default"/>
        <w:jc w:val="both"/>
        <w:rPr>
          <w:rFonts w:ascii="Calibri" w:hAnsi="Calibri" w:cs="Calibri"/>
          <w:b/>
          <w:i/>
          <w:color w:val="auto"/>
        </w:rPr>
      </w:pPr>
    </w:p>
    <w:p w:rsidR="00A779B8" w:rsidRPr="00081211" w:rsidP="00A779B8">
      <w:pPr>
        <w:pStyle w:val="Default"/>
        <w:spacing w:after="120" w:line="360" w:lineRule="auto"/>
        <w:jc w:val="both"/>
        <w:rPr>
          <w:rFonts w:asciiTheme="minorHAnsi" w:hAnsiTheme="minorHAnsi" w:cstheme="minorHAnsi"/>
          <w:sz w:val="12"/>
          <w:szCs w:val="12"/>
        </w:rPr>
      </w:pPr>
    </w:p>
    <w:p w:rsidR="00FC140B" w:rsidRPr="00F50ADA" w:rsidP="00F50ADA">
      <w:pPr>
        <w:pStyle w:val="Default"/>
        <w:spacing w:after="240" w:line="360" w:lineRule="auto"/>
        <w:ind w:firstLine="2268"/>
        <w:jc w:val="both"/>
        <w:rPr>
          <w:rFonts w:asciiTheme="minorHAnsi" w:hAnsiTheme="minorHAnsi" w:cstheme="minorHAnsi"/>
        </w:rPr>
      </w:pPr>
      <w:r w:rsidRPr="0006682F">
        <w:rPr>
          <w:rFonts w:asciiTheme="minorHAnsi" w:hAnsiTheme="minorHAnsi" w:cstheme="minorHAnsi"/>
        </w:rPr>
        <w:t xml:space="preserve">Trata-se de parecer jurídico relativo </w:t>
      </w:r>
      <w:r>
        <w:rPr>
          <w:rFonts w:asciiTheme="minorHAnsi" w:hAnsiTheme="minorHAnsi" w:cstheme="minorHAnsi"/>
        </w:rPr>
        <w:t xml:space="preserve">à emenda </w:t>
      </w:r>
      <w:r w:rsidRPr="0006682F">
        <w:rPr>
          <w:rFonts w:asciiTheme="minorHAnsi" w:hAnsiTheme="minorHAnsi" w:cstheme="minorHAnsi"/>
        </w:rPr>
        <w:t>em epígrafe que</w:t>
      </w:r>
      <w:r w:rsidR="00F50ADA">
        <w:rPr>
          <w:rFonts w:asciiTheme="minorHAnsi" w:hAnsiTheme="minorHAnsi" w:cstheme="minorHAnsi"/>
        </w:rPr>
        <w:t xml:space="preserve"> visa alterar </w:t>
      </w:r>
      <w:r w:rsidRPr="005945EE" w:rsidR="00F50ADA">
        <w:rPr>
          <w:rFonts w:asciiTheme="minorHAnsi" w:hAnsiTheme="minorHAnsi" w:cstheme="minorHAnsi"/>
        </w:rPr>
        <w:t xml:space="preserve">a redação </w:t>
      </w:r>
      <w:r w:rsidR="00C91492">
        <w:rPr>
          <w:rFonts w:asciiTheme="minorHAnsi" w:hAnsiTheme="minorHAnsi" w:cstheme="minorHAnsi"/>
        </w:rPr>
        <w:t>do pretenso</w:t>
      </w:r>
      <w:r w:rsidR="00D26629">
        <w:rPr>
          <w:rFonts w:asciiTheme="minorHAnsi" w:hAnsiTheme="minorHAnsi" w:cstheme="minorHAnsi"/>
        </w:rPr>
        <w:t xml:space="preserve"> Anexo</w:t>
      </w:r>
      <w:r w:rsidR="00C928E6">
        <w:rPr>
          <w:rFonts w:asciiTheme="minorHAnsi" w:hAnsiTheme="minorHAnsi" w:cstheme="minorHAnsi"/>
        </w:rPr>
        <w:t xml:space="preserve"> III, item </w:t>
      </w:r>
      <w:r w:rsidRPr="00C928E6" w:rsidR="00D26629">
        <w:rPr>
          <w:rFonts w:asciiTheme="minorHAnsi" w:hAnsiTheme="minorHAnsi" w:cstheme="minorHAnsi"/>
          <w:i/>
        </w:rPr>
        <w:t>A</w:t>
      </w:r>
      <w:r w:rsidR="00C928E6">
        <w:rPr>
          <w:rFonts w:asciiTheme="minorHAnsi" w:hAnsiTheme="minorHAnsi" w:cstheme="minorHAnsi"/>
        </w:rPr>
        <w:t>, “</w:t>
      </w:r>
      <w:r w:rsidR="00D26629">
        <w:rPr>
          <w:rFonts w:asciiTheme="minorHAnsi" w:hAnsiTheme="minorHAnsi" w:cstheme="minorHAnsi"/>
        </w:rPr>
        <w:t>10</w:t>
      </w:r>
      <w:r w:rsidR="00C928E6">
        <w:rPr>
          <w:rFonts w:asciiTheme="minorHAnsi" w:hAnsiTheme="minorHAnsi" w:cstheme="minorHAnsi"/>
        </w:rPr>
        <w:t>”,</w:t>
      </w:r>
      <w:r w:rsidR="008930E7">
        <w:rPr>
          <w:rFonts w:asciiTheme="minorHAnsi" w:hAnsiTheme="minorHAnsi" w:cstheme="minorHAnsi"/>
        </w:rPr>
        <w:t xml:space="preserve"> </w:t>
      </w:r>
      <w:r w:rsidR="00F50ADA">
        <w:rPr>
          <w:rFonts w:asciiTheme="minorHAnsi" w:hAnsiTheme="minorHAnsi" w:cstheme="minorHAnsi"/>
        </w:rPr>
        <w:t>do</w:t>
      </w:r>
      <w:r w:rsidRPr="005945EE" w:rsidR="00F50ADA">
        <w:rPr>
          <w:rFonts w:asciiTheme="minorHAnsi" w:hAnsiTheme="minorHAnsi" w:cstheme="minorHAnsi"/>
        </w:rPr>
        <w:t> </w:t>
      </w:r>
      <w:r w:rsidR="00F50ADA">
        <w:rPr>
          <w:rFonts w:asciiTheme="minorHAnsi" w:hAnsiTheme="minorHAnsi" w:cstheme="minorHAnsi"/>
        </w:rPr>
        <w:t xml:space="preserve">Projeto de </w:t>
      </w:r>
      <w:r w:rsidRPr="005945EE" w:rsidR="00F50ADA">
        <w:rPr>
          <w:rFonts w:asciiTheme="minorHAnsi" w:hAnsiTheme="minorHAnsi" w:cstheme="minorHAnsi"/>
        </w:rPr>
        <w:t xml:space="preserve">Lei nº </w:t>
      </w:r>
      <w:r w:rsidR="00F50ADA">
        <w:rPr>
          <w:rFonts w:asciiTheme="minorHAnsi" w:hAnsiTheme="minorHAnsi" w:cstheme="minorHAnsi"/>
        </w:rPr>
        <w:t>53</w:t>
      </w:r>
      <w:r w:rsidRPr="005945EE" w:rsidR="00F50ADA">
        <w:rPr>
          <w:rFonts w:asciiTheme="minorHAnsi" w:hAnsiTheme="minorHAnsi" w:cstheme="minorHAnsi"/>
        </w:rPr>
        <w:t>/20</w:t>
      </w:r>
      <w:r w:rsidR="00F50ADA">
        <w:rPr>
          <w:rFonts w:asciiTheme="minorHAnsi" w:hAnsiTheme="minorHAnsi" w:cstheme="minorHAnsi"/>
        </w:rPr>
        <w:t>22</w:t>
      </w:r>
      <w:r w:rsidRPr="005945EE" w:rsidR="00F50ADA">
        <w:rPr>
          <w:rFonts w:asciiTheme="minorHAnsi" w:hAnsiTheme="minorHAnsi" w:cstheme="minorHAnsi"/>
        </w:rPr>
        <w:t>, que</w:t>
      </w:r>
      <w:r w:rsidRPr="001604ED" w:rsidR="00F50ADA">
        <w:rPr>
          <w:rFonts w:asciiTheme="minorHAnsi" w:hAnsiTheme="minorHAnsi" w:cstheme="minorHAnsi"/>
        </w:rPr>
        <w:t xml:space="preserve"> “</w:t>
      </w:r>
      <w:r w:rsidRPr="001604ED" w:rsidR="00F50ADA">
        <w:rPr>
          <w:rFonts w:asciiTheme="minorHAnsi" w:hAnsiTheme="minorHAnsi" w:cstheme="minorHAnsi"/>
          <w:i/>
        </w:rPr>
        <w:t>Estabelece normas, condições, procedimentos e penalidades para a Licença Ágil Responsável – LICENÇA ÁGIL, na forma que especifica</w:t>
      </w:r>
      <w:r w:rsidRPr="00FC140B">
        <w:rPr>
          <w:rFonts w:ascii="Calibri" w:hAnsi="Calibri" w:cs="Calibri"/>
          <w:bCs/>
          <w:i/>
        </w:rPr>
        <w:t>”.</w:t>
      </w:r>
    </w:p>
    <w:p w:rsidR="00A779B8" w:rsidRPr="0006682F" w:rsidP="00A779B8">
      <w:pPr>
        <w:pStyle w:val="Default"/>
        <w:spacing w:after="240" w:line="360" w:lineRule="auto"/>
        <w:ind w:firstLine="2268"/>
        <w:jc w:val="both"/>
        <w:rPr>
          <w:rFonts w:asciiTheme="minorHAnsi" w:hAnsiTheme="minorHAnsi" w:cstheme="minorHAnsi"/>
        </w:rPr>
      </w:pPr>
      <w:r w:rsidRPr="0006682F">
        <w:rPr>
          <w:rFonts w:asciiTheme="minorHAnsi" w:hAnsiTheme="minorHAnsi" w:cstheme="minorHAnsi"/>
          <w:i/>
        </w:rPr>
        <w:t>Ab</w:t>
      </w:r>
      <w:r w:rsidRPr="0006682F">
        <w:rPr>
          <w:rFonts w:asciiTheme="minorHAnsi" w:hAnsiTheme="minorHAnsi" w:cstheme="minorHAnsi"/>
          <w:i/>
        </w:rPr>
        <w:t xml:space="preserve"> initio</w:t>
      </w:r>
      <w:r w:rsidRPr="0006682F">
        <w:rPr>
          <w:rFonts w:asciiTheme="minorHAnsi" w:hAnsiTheme="minorHAnsi" w:cstheme="minorHAnsi"/>
        </w:rPr>
        <w:t>, cumpre destacar a competência regimental da Comissão de Justiça e Redação, estabelecida no artigo 38.</w:t>
      </w:r>
    </w:p>
    <w:p w:rsidR="00A779B8" w:rsidRPr="0006682F" w:rsidP="00A779B8">
      <w:pPr>
        <w:spacing w:after="120" w:line="360" w:lineRule="auto"/>
        <w:ind w:firstLine="2268"/>
        <w:jc w:val="both"/>
        <w:rPr>
          <w:rFonts w:asciiTheme="minorHAnsi" w:hAnsiTheme="minorHAnsi" w:cstheme="minorHAnsi"/>
          <w:szCs w:val="24"/>
        </w:rPr>
      </w:pPr>
      <w:r w:rsidRPr="0006682F">
        <w:rPr>
          <w:rFonts w:asciiTheme="minorHAnsi" w:hAnsiTheme="minorHAnsi" w:cstheme="minorHAnsi"/>
          <w:szCs w:val="24"/>
        </w:rPr>
        <w:t>Outrossim</w:t>
      </w:r>
      <w:r w:rsidRPr="0006682F">
        <w:rPr>
          <w:rFonts w:asciiTheme="minorHAnsi" w:hAnsiTheme="minorHAnsi" w:cstheme="minorHAnsi"/>
          <w:szCs w:val="24"/>
        </w:rPr>
        <w:t>, ressalta-se que</w:t>
      </w:r>
      <w:r w:rsidR="00C91492">
        <w:rPr>
          <w:rFonts w:asciiTheme="minorHAnsi" w:hAnsiTheme="minorHAnsi" w:cstheme="minorHAnsi"/>
          <w:szCs w:val="24"/>
        </w:rPr>
        <w:t xml:space="preserve"> a opinião jurídica exarada nest</w:t>
      </w:r>
      <w:r w:rsidRPr="0006682F">
        <w:rPr>
          <w:rFonts w:asciiTheme="minorHAnsi" w:hAnsiTheme="minorHAnsi" w:cstheme="minorHAnsi"/>
          <w:szCs w:val="24"/>
        </w:rPr>
        <w:t xml:space="preserve">e </w:t>
      </w:r>
      <w:r w:rsidRPr="0006682F">
        <w:rPr>
          <w:rFonts w:asciiTheme="minorHAnsi" w:hAnsiTheme="minorHAnsi" w:cstheme="minorHAnsi"/>
          <w:szCs w:val="24"/>
        </w:rPr>
        <w:t>parecer</w:t>
      </w:r>
      <w:r w:rsidRPr="0006682F">
        <w:rPr>
          <w:rFonts w:asciiTheme="minorHAnsi" w:hAnsiTheme="minorHAnsi" w:cstheme="minorHAnsi"/>
          <w:szCs w:val="24"/>
        </w:rPr>
        <w:t xml:space="preserve"> </w:t>
      </w:r>
      <w:r w:rsidRPr="001B125C">
        <w:rPr>
          <w:rFonts w:asciiTheme="minorHAnsi" w:hAnsiTheme="minorHAnsi" w:cstheme="minorHAnsi"/>
          <w:b/>
          <w:szCs w:val="24"/>
        </w:rPr>
        <w:t>não tem força vinculante,</w:t>
      </w:r>
      <w:r w:rsidRPr="0006682F">
        <w:rPr>
          <w:rFonts w:asciiTheme="minorHAnsi" w:hAnsiTheme="minorHAnsi" w:cstheme="minorHAnsi"/>
          <w:szCs w:val="24"/>
        </w:rPr>
        <w:t xml:space="preserve"> sendo meramente opinativo não fundamentando decisão proferida pelas Comissões e/ou nobres vereadores.</w:t>
      </w:r>
    </w:p>
    <w:p w:rsidR="00A779B8" w:rsidRPr="0006682F" w:rsidP="00A779B8">
      <w:pPr>
        <w:pStyle w:val="Default"/>
        <w:spacing w:after="240" w:line="360" w:lineRule="auto"/>
        <w:ind w:firstLine="2268"/>
        <w:jc w:val="both"/>
        <w:rPr>
          <w:rFonts w:asciiTheme="minorHAnsi" w:hAnsiTheme="minorHAnsi" w:cstheme="minorHAnsi"/>
        </w:rPr>
      </w:pPr>
      <w:r w:rsidRPr="0006682F">
        <w:rPr>
          <w:rFonts w:asciiTheme="minorHAnsi" w:hAnsiTheme="minorHAnsi" w:cstheme="minorHAnsi"/>
        </w:rPr>
        <w:t xml:space="preserve">Nesse sentido é o entendimento do </w:t>
      </w:r>
      <w:r w:rsidR="00C91492">
        <w:rPr>
          <w:rFonts w:asciiTheme="minorHAnsi" w:hAnsiTheme="minorHAnsi" w:cstheme="minorHAnsi"/>
        </w:rPr>
        <w:t xml:space="preserve">C. </w:t>
      </w:r>
      <w:r w:rsidRPr="0006682F">
        <w:rPr>
          <w:rFonts w:asciiTheme="minorHAnsi" w:hAnsiTheme="minorHAnsi" w:cstheme="minorHAnsi"/>
        </w:rPr>
        <w:t xml:space="preserve">Supremo Tribunal Federal: </w:t>
      </w:r>
    </w:p>
    <w:p w:rsidR="00A779B8" w:rsidRPr="0006682F" w:rsidP="00A779B8">
      <w:pPr>
        <w:pStyle w:val="Default"/>
        <w:spacing w:after="240" w:line="276" w:lineRule="auto"/>
        <w:ind w:left="2835"/>
        <w:jc w:val="both"/>
        <w:rPr>
          <w:rFonts w:asciiTheme="minorHAnsi" w:hAnsiTheme="minorHAnsi" w:cstheme="minorHAnsi"/>
          <w:i/>
          <w:sz w:val="22"/>
          <w:szCs w:val="22"/>
        </w:rPr>
      </w:pPr>
      <w:r w:rsidRPr="0006682F">
        <w:rPr>
          <w:rFonts w:asciiTheme="minorHAnsi" w:hAnsiTheme="minorHAnsi" w:cstheme="minorHAnsi"/>
          <w:i/>
          <w:sz w:val="22"/>
          <w:szCs w:val="22"/>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6682F">
        <w:rPr>
          <w:rFonts w:asciiTheme="minorHAnsi" w:hAnsiTheme="minorHAnsi" w:cstheme="minorHAnsi"/>
          <w:i/>
          <w:sz w:val="22"/>
          <w:szCs w:val="22"/>
        </w:rPr>
        <w:t>ex</w:t>
      </w:r>
      <w:r w:rsidRPr="0006682F">
        <w:rPr>
          <w:rFonts w:asciiTheme="minorHAnsi" w:hAnsiTheme="minorHAnsi" w:cstheme="minorHAnsi"/>
          <w:i/>
          <w:sz w:val="22"/>
          <w:szCs w:val="22"/>
        </w:rPr>
        <w:t xml:space="preserve"> </w:t>
      </w:r>
      <w:r w:rsidRPr="0006682F">
        <w:rPr>
          <w:rFonts w:asciiTheme="minorHAnsi" w:hAnsiTheme="minorHAnsi" w:cstheme="minorHAnsi"/>
          <w:i/>
          <w:sz w:val="22"/>
          <w:szCs w:val="22"/>
        </w:rPr>
        <w:t>oficio</w:t>
      </w:r>
      <w:r w:rsidRPr="0006682F">
        <w:rPr>
          <w:rFonts w:asciiTheme="minorHAnsi" w:hAnsiTheme="minorHAnsi" w:cstheme="minorHAnsi"/>
          <w:i/>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A779B8" w:rsidP="00A779B8">
      <w:pPr>
        <w:tabs>
          <w:tab w:val="left" w:pos="1701"/>
        </w:tabs>
        <w:spacing w:after="240" w:line="360" w:lineRule="auto"/>
        <w:ind w:firstLine="2268"/>
        <w:jc w:val="both"/>
        <w:rPr>
          <w:rFonts w:eastAsia="Calibri" w:asciiTheme="minorHAnsi" w:hAnsiTheme="minorHAnsi" w:cstheme="minorHAnsi"/>
          <w:color w:val="000000"/>
          <w:szCs w:val="24"/>
        </w:rPr>
      </w:pPr>
      <w:r w:rsidRPr="00AD09BD">
        <w:rPr>
          <w:rFonts w:eastAsia="Calibri" w:asciiTheme="minorHAnsi" w:hAnsiTheme="minorHAnsi" w:cstheme="minorHAnsi"/>
          <w:color w:val="000000"/>
          <w:szCs w:val="24"/>
        </w:rPr>
        <w:t xml:space="preserve">Desta feita, considerando os aspectos </w:t>
      </w:r>
      <w:r>
        <w:rPr>
          <w:rFonts w:eastAsia="Calibri" w:asciiTheme="minorHAnsi" w:hAnsiTheme="minorHAnsi" w:cstheme="minorHAnsi"/>
          <w:color w:val="000000"/>
          <w:szCs w:val="24"/>
        </w:rPr>
        <w:t>jurídicos</w:t>
      </w:r>
      <w:r w:rsidR="001604ED">
        <w:rPr>
          <w:rFonts w:eastAsia="Calibri" w:asciiTheme="minorHAnsi" w:hAnsiTheme="minorHAnsi" w:cstheme="minorHAnsi"/>
          <w:color w:val="000000"/>
          <w:szCs w:val="24"/>
        </w:rPr>
        <w:t xml:space="preserve"> passamos </w:t>
      </w:r>
      <w:r w:rsidR="00C91492">
        <w:rPr>
          <w:rFonts w:eastAsia="Calibri" w:asciiTheme="minorHAnsi" w:hAnsiTheme="minorHAnsi" w:cstheme="minorHAnsi"/>
          <w:color w:val="000000"/>
          <w:szCs w:val="24"/>
        </w:rPr>
        <w:t>à</w:t>
      </w:r>
      <w:r w:rsidRPr="00AD09BD">
        <w:rPr>
          <w:rFonts w:eastAsia="Calibri" w:asciiTheme="minorHAnsi" w:hAnsiTheme="minorHAnsi" w:cstheme="minorHAnsi"/>
          <w:color w:val="000000"/>
          <w:szCs w:val="24"/>
        </w:rPr>
        <w:t xml:space="preserve"> análise técnica do projeto em epígrafe solicitado.</w:t>
      </w:r>
    </w:p>
    <w:p w:rsidR="001604ED" w:rsidRPr="001604ED" w:rsidP="00C669D7">
      <w:pPr>
        <w:tabs>
          <w:tab w:val="left" w:pos="1701"/>
        </w:tabs>
        <w:spacing w:after="120" w:line="360" w:lineRule="auto"/>
        <w:ind w:firstLine="2268"/>
        <w:jc w:val="both"/>
        <w:rPr>
          <w:rFonts w:asciiTheme="minorHAnsi" w:hAnsiTheme="minorHAnsi" w:cstheme="minorHAnsi"/>
          <w:szCs w:val="24"/>
        </w:rPr>
      </w:pPr>
      <w:r w:rsidRPr="005945EE">
        <w:rPr>
          <w:rFonts w:asciiTheme="minorHAnsi" w:hAnsiTheme="minorHAnsi" w:cstheme="minorHAnsi"/>
          <w:szCs w:val="24"/>
        </w:rPr>
        <w:t xml:space="preserve">A Emenda almeja </w:t>
      </w:r>
      <w:r w:rsidR="00C669D7">
        <w:rPr>
          <w:rFonts w:asciiTheme="minorHAnsi" w:hAnsiTheme="minorHAnsi" w:cstheme="minorHAnsi"/>
          <w:szCs w:val="24"/>
        </w:rPr>
        <w:t>altera</w:t>
      </w:r>
      <w:r w:rsidRPr="005945EE">
        <w:rPr>
          <w:rFonts w:asciiTheme="minorHAnsi" w:hAnsiTheme="minorHAnsi" w:cstheme="minorHAnsi"/>
          <w:szCs w:val="24"/>
        </w:rPr>
        <w:t xml:space="preserve">r a redação proposta para </w:t>
      </w:r>
      <w:r w:rsidR="00C928E6">
        <w:rPr>
          <w:rFonts w:asciiTheme="minorHAnsi" w:hAnsiTheme="minorHAnsi" w:cstheme="minorHAnsi"/>
          <w:szCs w:val="24"/>
        </w:rPr>
        <w:t>o item</w:t>
      </w:r>
      <w:r w:rsidR="008930E7">
        <w:rPr>
          <w:rFonts w:asciiTheme="minorHAnsi" w:hAnsiTheme="minorHAnsi" w:cstheme="minorHAnsi"/>
          <w:szCs w:val="24"/>
        </w:rPr>
        <w:t xml:space="preserve"> “</w:t>
      </w:r>
      <w:r w:rsidRPr="008930E7" w:rsidR="008930E7">
        <w:rPr>
          <w:rFonts w:asciiTheme="minorHAnsi" w:hAnsiTheme="minorHAnsi" w:cstheme="minorHAnsi"/>
          <w:i/>
          <w:szCs w:val="24"/>
        </w:rPr>
        <w:t>A)</w:t>
      </w:r>
      <w:r w:rsidR="008930E7">
        <w:rPr>
          <w:rFonts w:asciiTheme="minorHAnsi" w:hAnsiTheme="minorHAnsi" w:cstheme="minorHAnsi"/>
          <w:i/>
          <w:szCs w:val="24"/>
        </w:rPr>
        <w:t xml:space="preserve"> </w:t>
      </w:r>
      <w:r w:rsidRPr="008930E7" w:rsidR="008930E7">
        <w:rPr>
          <w:rFonts w:asciiTheme="minorHAnsi" w:hAnsiTheme="minorHAnsi" w:cstheme="minorHAnsi"/>
          <w:i/>
          <w:szCs w:val="24"/>
        </w:rPr>
        <w:t>Documentação Exigida para Protocolização</w:t>
      </w:r>
      <w:r w:rsidR="008930E7">
        <w:rPr>
          <w:rFonts w:asciiTheme="minorHAnsi" w:hAnsiTheme="minorHAnsi" w:cstheme="minorHAnsi"/>
          <w:szCs w:val="24"/>
        </w:rPr>
        <w:t>”</w:t>
      </w:r>
      <w:r w:rsidR="00C928E6">
        <w:rPr>
          <w:rFonts w:asciiTheme="minorHAnsi" w:hAnsiTheme="minorHAnsi" w:cstheme="minorHAnsi"/>
          <w:szCs w:val="24"/>
        </w:rPr>
        <w:t>,</w:t>
      </w:r>
      <w:r w:rsidR="008930E7">
        <w:rPr>
          <w:rFonts w:asciiTheme="minorHAnsi" w:hAnsiTheme="minorHAnsi" w:cstheme="minorHAnsi"/>
          <w:szCs w:val="24"/>
        </w:rPr>
        <w:t xml:space="preserve"> “</w:t>
      </w:r>
      <w:r w:rsidRPr="008930E7" w:rsidR="008930E7">
        <w:rPr>
          <w:rFonts w:asciiTheme="minorHAnsi" w:hAnsiTheme="minorHAnsi" w:cstheme="minorHAnsi"/>
          <w:i/>
          <w:szCs w:val="24"/>
        </w:rPr>
        <w:t>10) Declaração de anuência do condomínio ou da associação do loteamento fechado, conforme o caso</w:t>
      </w:r>
      <w:r w:rsidR="008930E7">
        <w:rPr>
          <w:rFonts w:asciiTheme="minorHAnsi" w:hAnsiTheme="minorHAnsi" w:cstheme="minorHAnsi"/>
          <w:szCs w:val="24"/>
        </w:rPr>
        <w:t>”</w:t>
      </w:r>
      <w:r w:rsidR="000E3254">
        <w:rPr>
          <w:rFonts w:asciiTheme="minorHAnsi" w:hAnsiTheme="minorHAnsi" w:cstheme="minorHAnsi"/>
          <w:szCs w:val="24"/>
        </w:rPr>
        <w:t xml:space="preserve"> </w:t>
      </w:r>
      <w:r>
        <w:rPr>
          <w:rFonts w:asciiTheme="minorHAnsi" w:hAnsiTheme="minorHAnsi" w:cstheme="minorHAnsi"/>
          <w:szCs w:val="24"/>
        </w:rPr>
        <w:t>do</w:t>
      </w:r>
      <w:r w:rsidRPr="005945EE">
        <w:rPr>
          <w:rFonts w:asciiTheme="minorHAnsi" w:hAnsiTheme="minorHAnsi" w:cstheme="minorHAnsi"/>
          <w:szCs w:val="24"/>
        </w:rPr>
        <w:t> </w:t>
      </w:r>
      <w:r>
        <w:rPr>
          <w:rFonts w:asciiTheme="minorHAnsi" w:hAnsiTheme="minorHAnsi" w:cstheme="minorHAnsi"/>
          <w:szCs w:val="24"/>
        </w:rPr>
        <w:t xml:space="preserve">Projeto de </w:t>
      </w:r>
      <w:r w:rsidRPr="005945EE">
        <w:rPr>
          <w:rFonts w:asciiTheme="minorHAnsi" w:hAnsiTheme="minorHAnsi" w:cstheme="minorHAnsi"/>
          <w:szCs w:val="24"/>
        </w:rPr>
        <w:t xml:space="preserve">Lei nº </w:t>
      </w:r>
      <w:r>
        <w:rPr>
          <w:rFonts w:asciiTheme="minorHAnsi" w:hAnsiTheme="minorHAnsi" w:cstheme="minorHAnsi"/>
          <w:szCs w:val="24"/>
        </w:rPr>
        <w:t>53</w:t>
      </w:r>
      <w:r w:rsidRPr="005945EE">
        <w:rPr>
          <w:rFonts w:asciiTheme="minorHAnsi" w:hAnsiTheme="minorHAnsi" w:cstheme="minorHAnsi"/>
          <w:szCs w:val="24"/>
        </w:rPr>
        <w:t>/20</w:t>
      </w:r>
      <w:r>
        <w:rPr>
          <w:rFonts w:asciiTheme="minorHAnsi" w:hAnsiTheme="minorHAnsi" w:cstheme="minorHAnsi"/>
          <w:szCs w:val="24"/>
        </w:rPr>
        <w:t>22</w:t>
      </w:r>
      <w:r w:rsidRPr="005945EE">
        <w:rPr>
          <w:rFonts w:asciiTheme="minorHAnsi" w:hAnsiTheme="minorHAnsi" w:cstheme="minorHAnsi"/>
          <w:szCs w:val="24"/>
        </w:rPr>
        <w:t>, que</w:t>
      </w:r>
      <w:r w:rsidRPr="001604ED">
        <w:rPr>
          <w:rFonts w:asciiTheme="minorHAnsi" w:hAnsiTheme="minorHAnsi" w:cstheme="minorHAnsi"/>
          <w:szCs w:val="24"/>
        </w:rPr>
        <w:t xml:space="preserve"> “</w:t>
      </w:r>
      <w:r w:rsidRPr="001604ED">
        <w:rPr>
          <w:rFonts w:asciiTheme="minorHAnsi" w:hAnsiTheme="minorHAnsi" w:cstheme="minorHAnsi"/>
          <w:i/>
          <w:szCs w:val="24"/>
        </w:rPr>
        <w:t>Estabelece normas, condições, procedimentos e penalidades para a Licença Ágil Responsável – LICENÇA ÁGIL, na forma que especifica</w:t>
      </w:r>
      <w:r>
        <w:rPr>
          <w:rFonts w:asciiTheme="minorHAnsi" w:hAnsiTheme="minorHAnsi" w:cstheme="minorHAnsi"/>
          <w:i/>
          <w:szCs w:val="24"/>
        </w:rPr>
        <w:t>”</w:t>
      </w:r>
      <w:r w:rsidRPr="005945EE">
        <w:rPr>
          <w:rFonts w:asciiTheme="minorHAnsi" w:hAnsiTheme="minorHAnsi" w:cstheme="minorHAnsi"/>
          <w:szCs w:val="24"/>
        </w:rPr>
        <w:t xml:space="preserve">, </w:t>
      </w:r>
      <w:r>
        <w:rPr>
          <w:rFonts w:asciiTheme="minorHAnsi" w:hAnsiTheme="minorHAnsi" w:cstheme="minorHAnsi"/>
          <w:szCs w:val="24"/>
        </w:rPr>
        <w:t>nos seguintes termos</w:t>
      </w:r>
      <w:r w:rsidRPr="005945EE">
        <w:rPr>
          <w:rFonts w:asciiTheme="minorHAnsi" w:hAnsiTheme="minorHAnsi" w:cstheme="minorHAnsi"/>
          <w:szCs w:val="24"/>
        </w:rPr>
        <w:t>:</w:t>
      </w:r>
    </w:p>
    <w:tbl>
      <w:tblPr>
        <w:tblStyle w:val="TableGrid"/>
        <w:tblW w:w="8755" w:type="dxa"/>
        <w:tblLayout w:type="fixed"/>
        <w:tblLook w:val="04A0"/>
      </w:tblPr>
      <w:tblGrid>
        <w:gridCol w:w="4503"/>
        <w:gridCol w:w="4252"/>
      </w:tblGrid>
      <w:tr w:rsidTr="00F50ADA">
        <w:tblPrEx>
          <w:tblW w:w="8755" w:type="dxa"/>
          <w:tblLayout w:type="fixed"/>
          <w:tblLook w:val="04A0"/>
        </w:tblPrEx>
        <w:tc>
          <w:tcPr>
            <w:tcW w:w="4503" w:type="dxa"/>
          </w:tcPr>
          <w:p w:rsidR="001604ED" w:rsidRPr="005945EE" w:rsidP="001604ED">
            <w:pPr>
              <w:tabs>
                <w:tab w:val="left" w:pos="1701"/>
              </w:tabs>
              <w:spacing w:before="240" w:after="240" w:line="276" w:lineRule="auto"/>
              <w:jc w:val="center"/>
              <w:rPr>
                <w:rFonts w:asciiTheme="minorHAnsi" w:hAnsiTheme="minorHAnsi" w:cstheme="minorHAnsi"/>
                <w:b/>
                <w:szCs w:val="24"/>
              </w:rPr>
            </w:pPr>
            <w:r w:rsidRPr="005945EE">
              <w:rPr>
                <w:rFonts w:asciiTheme="minorHAnsi" w:hAnsiTheme="minorHAnsi" w:cstheme="minorHAnsi"/>
                <w:b/>
                <w:szCs w:val="24"/>
              </w:rPr>
              <w:t xml:space="preserve">Projeto de Lei nº </w:t>
            </w:r>
            <w:r>
              <w:rPr>
                <w:rFonts w:asciiTheme="minorHAnsi" w:hAnsiTheme="minorHAnsi" w:cstheme="minorHAnsi"/>
                <w:b/>
                <w:szCs w:val="24"/>
              </w:rPr>
              <w:t>53/2022</w:t>
            </w:r>
          </w:p>
        </w:tc>
        <w:tc>
          <w:tcPr>
            <w:tcW w:w="4252" w:type="dxa"/>
          </w:tcPr>
          <w:p w:rsidR="001604ED" w:rsidRPr="005945EE" w:rsidP="00E86B5F">
            <w:pPr>
              <w:tabs>
                <w:tab w:val="left" w:pos="1701"/>
              </w:tabs>
              <w:spacing w:before="240" w:after="240" w:line="276" w:lineRule="auto"/>
              <w:jc w:val="center"/>
              <w:rPr>
                <w:rFonts w:asciiTheme="minorHAnsi" w:hAnsiTheme="minorHAnsi" w:cstheme="minorHAnsi"/>
                <w:b/>
                <w:szCs w:val="24"/>
              </w:rPr>
            </w:pPr>
            <w:r>
              <w:rPr>
                <w:rFonts w:asciiTheme="minorHAnsi" w:hAnsiTheme="minorHAnsi" w:cstheme="minorHAnsi"/>
                <w:b/>
                <w:szCs w:val="24"/>
              </w:rPr>
              <w:t xml:space="preserve">Redação proposta na Emenda </w:t>
            </w:r>
            <w:r w:rsidR="007A7FE6">
              <w:rPr>
                <w:rFonts w:asciiTheme="minorHAnsi" w:hAnsiTheme="minorHAnsi" w:cstheme="minorHAnsi"/>
                <w:b/>
                <w:szCs w:val="24"/>
              </w:rPr>
              <w:t xml:space="preserve">nº </w:t>
            </w:r>
            <w:r>
              <w:rPr>
                <w:rFonts w:asciiTheme="minorHAnsi" w:hAnsiTheme="minorHAnsi" w:cstheme="minorHAnsi"/>
                <w:b/>
                <w:szCs w:val="24"/>
              </w:rPr>
              <w:t>02</w:t>
            </w:r>
          </w:p>
        </w:tc>
      </w:tr>
      <w:tr w:rsidTr="00F50ADA">
        <w:tblPrEx>
          <w:tblW w:w="8755" w:type="dxa"/>
          <w:tblLayout w:type="fixed"/>
          <w:tblLook w:val="04A0"/>
        </w:tblPrEx>
        <w:tc>
          <w:tcPr>
            <w:tcW w:w="4503" w:type="dxa"/>
          </w:tcPr>
          <w:p w:rsidR="001604ED" w:rsidRPr="005945EE" w:rsidP="00E86B5F">
            <w:pPr>
              <w:spacing w:line="276" w:lineRule="auto"/>
              <w:ind w:left="498" w:hanging="2"/>
              <w:jc w:val="both"/>
              <w:rPr>
                <w:rFonts w:asciiTheme="minorHAnsi" w:hAnsiTheme="minorHAnsi" w:cstheme="minorHAnsi"/>
                <w:szCs w:val="24"/>
              </w:rPr>
            </w:pPr>
          </w:p>
          <w:p w:rsidR="008930E7" w:rsidRPr="008930E7" w:rsidP="008930E7">
            <w:pPr>
              <w:ind w:left="498" w:hanging="2"/>
              <w:jc w:val="both"/>
              <w:rPr>
                <w:rFonts w:asciiTheme="minorHAnsi" w:hAnsiTheme="minorHAnsi" w:cstheme="minorHAnsi"/>
                <w:sz w:val="22"/>
                <w:szCs w:val="22"/>
                <w:shd w:val="clear" w:color="auto" w:fill="FFFFFF"/>
              </w:rPr>
            </w:pPr>
            <w:r w:rsidRPr="008930E7">
              <w:rPr>
                <w:rFonts w:asciiTheme="minorHAnsi" w:hAnsiTheme="minorHAnsi" w:cstheme="minorHAnsi"/>
                <w:sz w:val="22"/>
                <w:szCs w:val="22"/>
                <w:shd w:val="clear" w:color="auto" w:fill="FFFFFF"/>
              </w:rPr>
              <w:t>ANEXO III</w:t>
            </w:r>
          </w:p>
          <w:p w:rsidR="008930E7" w:rsidRPr="008930E7" w:rsidP="008930E7">
            <w:pPr>
              <w:ind w:left="498" w:hanging="2"/>
              <w:jc w:val="both"/>
              <w:rPr>
                <w:rFonts w:asciiTheme="minorHAnsi" w:hAnsiTheme="minorHAnsi" w:cstheme="minorHAnsi"/>
                <w:sz w:val="22"/>
                <w:szCs w:val="22"/>
                <w:shd w:val="clear" w:color="auto" w:fill="FFFFFF"/>
              </w:rPr>
            </w:pPr>
            <w:r w:rsidRPr="008930E7">
              <w:rPr>
                <w:rFonts w:asciiTheme="minorHAnsi" w:hAnsiTheme="minorHAnsi" w:cstheme="minorHAnsi"/>
                <w:sz w:val="22"/>
                <w:szCs w:val="22"/>
                <w:shd w:val="clear" w:color="auto" w:fill="FFFFFF"/>
              </w:rPr>
              <w:t>(Art. 4º da Lei nº _______/2022)</w:t>
            </w:r>
          </w:p>
          <w:p w:rsidR="008930E7" w:rsidRPr="008930E7" w:rsidP="008930E7">
            <w:pPr>
              <w:ind w:left="498" w:hanging="2"/>
              <w:jc w:val="both"/>
              <w:rPr>
                <w:rFonts w:asciiTheme="minorHAnsi" w:hAnsiTheme="minorHAnsi" w:cstheme="minorHAnsi"/>
                <w:sz w:val="22"/>
                <w:szCs w:val="22"/>
                <w:shd w:val="clear" w:color="auto" w:fill="FFFFFF"/>
              </w:rPr>
            </w:pPr>
            <w:r w:rsidRPr="008930E7">
              <w:rPr>
                <w:rFonts w:asciiTheme="minorHAnsi" w:hAnsiTheme="minorHAnsi" w:cstheme="minorHAnsi"/>
                <w:sz w:val="22"/>
                <w:szCs w:val="22"/>
                <w:shd w:val="clear" w:color="auto" w:fill="FFFFFF"/>
              </w:rPr>
              <w:t>DOCUMENTAÇÃO EXIGIDA PARA PROTOCOLIZAÇÃO – CONSTRUÇÃO</w:t>
            </w:r>
          </w:p>
          <w:p w:rsidR="008930E7" w:rsidRPr="008930E7" w:rsidP="008930E7">
            <w:pPr>
              <w:ind w:left="498" w:hanging="2"/>
              <w:jc w:val="both"/>
              <w:rPr>
                <w:rFonts w:asciiTheme="minorHAnsi" w:hAnsiTheme="minorHAnsi" w:cstheme="minorHAnsi"/>
                <w:sz w:val="22"/>
                <w:szCs w:val="22"/>
                <w:shd w:val="clear" w:color="auto" w:fill="FFFFFF"/>
              </w:rPr>
            </w:pPr>
            <w:r w:rsidRPr="008930E7">
              <w:rPr>
                <w:rFonts w:asciiTheme="minorHAnsi" w:hAnsiTheme="minorHAnsi" w:cstheme="minorHAnsi"/>
                <w:sz w:val="22"/>
                <w:szCs w:val="22"/>
                <w:shd w:val="clear" w:color="auto" w:fill="FFFFFF"/>
              </w:rPr>
              <w:t>NOVA E REGULARIZAÇÃO PARA FINS DE HABITE-SE</w:t>
            </w:r>
          </w:p>
          <w:p w:rsidR="00F50ADA" w:rsidRPr="008930E7" w:rsidP="008930E7">
            <w:pPr>
              <w:spacing w:line="276" w:lineRule="auto"/>
              <w:ind w:left="498" w:hanging="2"/>
              <w:jc w:val="both"/>
              <w:rPr>
                <w:rFonts w:asciiTheme="minorHAnsi" w:hAnsiTheme="minorHAnsi" w:cstheme="minorHAnsi"/>
                <w:sz w:val="22"/>
                <w:szCs w:val="22"/>
                <w:shd w:val="clear" w:color="auto" w:fill="FFFFFF"/>
              </w:rPr>
            </w:pPr>
            <w:r w:rsidRPr="008930E7">
              <w:rPr>
                <w:rFonts w:asciiTheme="minorHAnsi" w:hAnsiTheme="minorHAnsi" w:cstheme="minorHAnsi"/>
                <w:sz w:val="22"/>
                <w:szCs w:val="22"/>
                <w:shd w:val="clear" w:color="auto" w:fill="FFFFFF"/>
              </w:rPr>
              <w:t>A) Documentação Exigida para Protocolização (CONSTRUÇÃO NOVA)</w:t>
            </w:r>
          </w:p>
          <w:p w:rsidR="008930E7" w:rsidP="008930E7">
            <w:pPr>
              <w:spacing w:line="276" w:lineRule="auto"/>
              <w:ind w:left="498" w:hanging="2"/>
              <w:jc w:val="both"/>
              <w:rPr>
                <w:rFonts w:asciiTheme="minorHAnsi" w:hAnsiTheme="minorHAnsi" w:cstheme="minorHAnsi"/>
                <w:szCs w:val="24"/>
              </w:rPr>
            </w:pPr>
            <w:r>
              <w:rPr>
                <w:rFonts w:asciiTheme="minorHAnsi" w:hAnsiTheme="minorHAnsi" w:cstheme="minorHAnsi"/>
                <w:szCs w:val="24"/>
              </w:rPr>
              <w:t>[...]</w:t>
            </w:r>
          </w:p>
          <w:p w:rsidR="008930E7" w:rsidRPr="005945EE" w:rsidP="008D5E31">
            <w:pPr>
              <w:ind w:left="498" w:hanging="2"/>
              <w:jc w:val="both"/>
              <w:rPr>
                <w:rFonts w:asciiTheme="minorHAnsi" w:hAnsiTheme="minorHAnsi" w:cstheme="minorHAnsi"/>
                <w:szCs w:val="24"/>
              </w:rPr>
            </w:pPr>
            <w:r w:rsidRPr="008930E7">
              <w:rPr>
                <w:rFonts w:asciiTheme="minorHAnsi" w:hAnsiTheme="minorHAnsi" w:cstheme="minorHAnsi"/>
                <w:szCs w:val="24"/>
              </w:rPr>
              <w:t>10)</w:t>
            </w:r>
            <w:r w:rsidRPr="008930E7">
              <w:rPr>
                <w:rFonts w:asciiTheme="minorHAnsi" w:hAnsiTheme="minorHAnsi" w:cstheme="minorHAnsi"/>
                <w:szCs w:val="24"/>
              </w:rPr>
              <w:t>Declaração de anuência do condomínio ou da associação do loteamento</w:t>
            </w:r>
            <w:r w:rsidR="008D5E31">
              <w:rPr>
                <w:rFonts w:asciiTheme="minorHAnsi" w:hAnsiTheme="minorHAnsi" w:cstheme="minorHAnsi"/>
                <w:szCs w:val="24"/>
              </w:rPr>
              <w:t xml:space="preserve"> </w:t>
            </w:r>
            <w:r w:rsidRPr="008930E7">
              <w:rPr>
                <w:rFonts w:asciiTheme="minorHAnsi" w:hAnsiTheme="minorHAnsi" w:cstheme="minorHAnsi"/>
                <w:szCs w:val="24"/>
              </w:rPr>
              <w:t>fechado, quando for o caso.</w:t>
            </w:r>
          </w:p>
        </w:tc>
        <w:tc>
          <w:tcPr>
            <w:tcW w:w="4252" w:type="dxa"/>
          </w:tcPr>
          <w:p w:rsidR="00F50ADA" w:rsidP="001604ED">
            <w:pPr>
              <w:spacing w:line="276" w:lineRule="auto"/>
              <w:ind w:left="175" w:hanging="2"/>
              <w:jc w:val="both"/>
              <w:rPr>
                <w:rFonts w:asciiTheme="minorHAnsi" w:hAnsiTheme="minorHAnsi" w:cstheme="minorHAnsi"/>
                <w:sz w:val="22"/>
                <w:szCs w:val="22"/>
                <w:shd w:val="clear" w:color="auto" w:fill="FFFFFF"/>
              </w:rPr>
            </w:pPr>
          </w:p>
          <w:p w:rsidR="008930E7" w:rsidRPr="008930E7" w:rsidP="008930E7">
            <w:pPr>
              <w:ind w:left="498" w:hanging="2"/>
              <w:jc w:val="both"/>
              <w:rPr>
                <w:rFonts w:asciiTheme="minorHAnsi" w:hAnsiTheme="minorHAnsi" w:cstheme="minorHAnsi"/>
                <w:sz w:val="22"/>
                <w:szCs w:val="22"/>
                <w:shd w:val="clear" w:color="auto" w:fill="FFFFFF"/>
              </w:rPr>
            </w:pPr>
            <w:r w:rsidRPr="008930E7">
              <w:rPr>
                <w:rFonts w:asciiTheme="minorHAnsi" w:hAnsiTheme="minorHAnsi" w:cstheme="minorHAnsi"/>
                <w:sz w:val="22"/>
                <w:szCs w:val="22"/>
                <w:shd w:val="clear" w:color="auto" w:fill="FFFFFF"/>
              </w:rPr>
              <w:t>ANEXO III</w:t>
            </w:r>
          </w:p>
          <w:p w:rsidR="008930E7" w:rsidRPr="008930E7" w:rsidP="008930E7">
            <w:pPr>
              <w:ind w:left="498" w:hanging="2"/>
              <w:jc w:val="both"/>
              <w:rPr>
                <w:rFonts w:asciiTheme="minorHAnsi" w:hAnsiTheme="minorHAnsi" w:cstheme="minorHAnsi"/>
                <w:sz w:val="22"/>
                <w:szCs w:val="22"/>
                <w:shd w:val="clear" w:color="auto" w:fill="FFFFFF"/>
              </w:rPr>
            </w:pPr>
            <w:r w:rsidRPr="008930E7">
              <w:rPr>
                <w:rFonts w:asciiTheme="minorHAnsi" w:hAnsiTheme="minorHAnsi" w:cstheme="minorHAnsi"/>
                <w:sz w:val="22"/>
                <w:szCs w:val="22"/>
                <w:shd w:val="clear" w:color="auto" w:fill="FFFFFF"/>
              </w:rPr>
              <w:t>(Art. 4º da Lei nº _______/2022)</w:t>
            </w:r>
          </w:p>
          <w:p w:rsidR="008930E7" w:rsidRPr="008930E7" w:rsidP="008930E7">
            <w:pPr>
              <w:ind w:left="498" w:hanging="2"/>
              <w:jc w:val="both"/>
              <w:rPr>
                <w:rFonts w:asciiTheme="minorHAnsi" w:hAnsiTheme="minorHAnsi" w:cstheme="minorHAnsi"/>
                <w:sz w:val="22"/>
                <w:szCs w:val="22"/>
                <w:shd w:val="clear" w:color="auto" w:fill="FFFFFF"/>
              </w:rPr>
            </w:pPr>
            <w:r w:rsidRPr="008930E7">
              <w:rPr>
                <w:rFonts w:asciiTheme="minorHAnsi" w:hAnsiTheme="minorHAnsi" w:cstheme="minorHAnsi"/>
                <w:sz w:val="22"/>
                <w:szCs w:val="22"/>
                <w:shd w:val="clear" w:color="auto" w:fill="FFFFFF"/>
              </w:rPr>
              <w:t>DOCUMENTAÇÃO EXIGIDA PARA PROTOCOLIZAÇÃO – CONSTRUÇÃO</w:t>
            </w:r>
          </w:p>
          <w:p w:rsidR="008930E7" w:rsidRPr="008930E7" w:rsidP="008930E7">
            <w:pPr>
              <w:ind w:left="498" w:hanging="2"/>
              <w:jc w:val="both"/>
              <w:rPr>
                <w:rFonts w:asciiTheme="minorHAnsi" w:hAnsiTheme="minorHAnsi" w:cstheme="minorHAnsi"/>
                <w:sz w:val="22"/>
                <w:szCs w:val="22"/>
                <w:shd w:val="clear" w:color="auto" w:fill="FFFFFF"/>
              </w:rPr>
            </w:pPr>
            <w:r w:rsidRPr="008930E7">
              <w:rPr>
                <w:rFonts w:asciiTheme="minorHAnsi" w:hAnsiTheme="minorHAnsi" w:cstheme="minorHAnsi"/>
                <w:sz w:val="22"/>
                <w:szCs w:val="22"/>
                <w:shd w:val="clear" w:color="auto" w:fill="FFFFFF"/>
              </w:rPr>
              <w:t>NOVA E REGULARIZAÇÃO PARA FINS DE HABITE-SE</w:t>
            </w:r>
          </w:p>
          <w:p w:rsidR="008930E7" w:rsidRPr="008930E7" w:rsidP="008930E7">
            <w:pPr>
              <w:spacing w:line="276" w:lineRule="auto"/>
              <w:ind w:left="498" w:hanging="2"/>
              <w:jc w:val="both"/>
              <w:rPr>
                <w:rFonts w:asciiTheme="minorHAnsi" w:hAnsiTheme="minorHAnsi" w:cstheme="minorHAnsi"/>
                <w:sz w:val="22"/>
                <w:szCs w:val="22"/>
                <w:shd w:val="clear" w:color="auto" w:fill="FFFFFF"/>
              </w:rPr>
            </w:pPr>
            <w:r w:rsidRPr="008930E7">
              <w:rPr>
                <w:rFonts w:asciiTheme="minorHAnsi" w:hAnsiTheme="minorHAnsi" w:cstheme="minorHAnsi"/>
                <w:sz w:val="22"/>
                <w:szCs w:val="22"/>
                <w:shd w:val="clear" w:color="auto" w:fill="FFFFFF"/>
              </w:rPr>
              <w:t>A) Documentação Exigida para Protocolização (CONSTRUÇÃO NOVA)</w:t>
            </w:r>
          </w:p>
          <w:p w:rsidR="008930E7" w:rsidP="008930E7">
            <w:pPr>
              <w:spacing w:line="276" w:lineRule="auto"/>
              <w:ind w:left="498" w:hanging="2"/>
              <w:jc w:val="both"/>
              <w:rPr>
                <w:rFonts w:asciiTheme="minorHAnsi" w:hAnsiTheme="minorHAnsi" w:cstheme="minorHAnsi"/>
                <w:szCs w:val="24"/>
              </w:rPr>
            </w:pPr>
            <w:r>
              <w:rPr>
                <w:rFonts w:asciiTheme="minorHAnsi" w:hAnsiTheme="minorHAnsi" w:cstheme="minorHAnsi"/>
                <w:szCs w:val="24"/>
              </w:rPr>
              <w:t>[...]</w:t>
            </w:r>
          </w:p>
          <w:p w:rsidR="001604ED" w:rsidRPr="005945EE" w:rsidP="008930E7">
            <w:pPr>
              <w:pStyle w:val="Header"/>
              <w:tabs>
                <w:tab w:val="left" w:pos="2595"/>
                <w:tab w:val="clear" w:pos="4419"/>
                <w:tab w:val="clear" w:pos="8838"/>
              </w:tabs>
              <w:spacing w:line="276" w:lineRule="auto"/>
              <w:ind w:left="459" w:hanging="284"/>
              <w:jc w:val="both"/>
              <w:rPr>
                <w:rFonts w:asciiTheme="minorHAnsi" w:hAnsiTheme="minorHAnsi" w:cstheme="minorHAnsi"/>
                <w:szCs w:val="24"/>
              </w:rPr>
            </w:pPr>
            <w:r>
              <w:rPr>
                <w:rFonts w:asciiTheme="minorHAnsi" w:hAnsiTheme="minorHAnsi" w:cstheme="minorHAnsi"/>
                <w:szCs w:val="24"/>
              </w:rPr>
              <w:t xml:space="preserve">     </w:t>
            </w:r>
            <w:r>
              <w:rPr>
                <w:rFonts w:asciiTheme="minorHAnsi" w:hAnsiTheme="minorHAnsi" w:cstheme="minorHAnsi"/>
                <w:szCs w:val="24"/>
              </w:rPr>
              <w:t>10)</w:t>
            </w:r>
            <w:r w:rsidRPr="008930E7">
              <w:rPr>
                <w:rFonts w:cs="Arial"/>
                <w:sz w:val="30"/>
                <w:szCs w:val="30"/>
                <w:shd w:val="clear" w:color="auto" w:fill="FFFFFF"/>
              </w:rPr>
              <w:t xml:space="preserve"> </w:t>
            </w:r>
            <w:r w:rsidRPr="008930E7">
              <w:rPr>
                <w:rFonts w:asciiTheme="minorHAnsi" w:hAnsiTheme="minorHAnsi" w:cstheme="minorHAnsi"/>
                <w:szCs w:val="24"/>
              </w:rPr>
              <w:t>Proj</w:t>
            </w:r>
            <w:r>
              <w:rPr>
                <w:rFonts w:asciiTheme="minorHAnsi" w:hAnsiTheme="minorHAnsi" w:cstheme="minorHAnsi"/>
                <w:szCs w:val="24"/>
              </w:rPr>
              <w:t xml:space="preserve">eto  completo  ou  simplificado </w:t>
            </w:r>
            <w:r w:rsidRPr="008930E7">
              <w:rPr>
                <w:rFonts w:asciiTheme="minorHAnsi" w:hAnsiTheme="minorHAnsi" w:cstheme="minorHAnsi"/>
                <w:szCs w:val="24"/>
              </w:rPr>
              <w:t>carimbado  com  anuência  do  condomínio  ou  associação  do  loteamento  fechado, quando for o caso. No caso de loteamento aberto deverá ser apresentado</w:t>
            </w:r>
            <w:r>
              <w:rPr>
                <w:rFonts w:asciiTheme="minorHAnsi" w:hAnsiTheme="minorHAnsi" w:cstheme="minorHAnsi"/>
                <w:szCs w:val="24"/>
              </w:rPr>
              <w:t xml:space="preserve"> </w:t>
            </w:r>
            <w:r w:rsidRPr="008930E7">
              <w:rPr>
                <w:rFonts w:asciiTheme="minorHAnsi" w:hAnsiTheme="minorHAnsi" w:cstheme="minorHAnsi"/>
                <w:szCs w:val="24"/>
              </w:rPr>
              <w:t xml:space="preserve">CROQUI </w:t>
            </w:r>
            <w:r w:rsidRPr="008930E7">
              <w:rPr>
                <w:rFonts w:asciiTheme="minorHAnsi" w:hAnsiTheme="minorHAnsi" w:cstheme="minorHAnsi"/>
                <w:szCs w:val="24"/>
              </w:rPr>
              <w:br/>
            </w:r>
            <w:r w:rsidR="007A7FE6">
              <w:rPr>
                <w:rFonts w:asciiTheme="minorHAnsi" w:hAnsiTheme="minorHAnsi" w:cstheme="minorHAnsi"/>
                <w:szCs w:val="24"/>
              </w:rPr>
              <w:t>da implantação de todos</w:t>
            </w:r>
            <w:r w:rsidRPr="008930E7">
              <w:rPr>
                <w:rFonts w:asciiTheme="minorHAnsi" w:hAnsiTheme="minorHAnsi" w:cstheme="minorHAnsi"/>
                <w:szCs w:val="24"/>
              </w:rPr>
              <w:t xml:space="preserve"> os</w:t>
            </w:r>
            <w:r w:rsidRPr="008930E7">
              <w:rPr>
                <w:rFonts w:asciiTheme="minorHAnsi" w:hAnsiTheme="minorHAnsi" w:cstheme="minorHAnsi"/>
                <w:szCs w:val="24"/>
              </w:rPr>
              <w:t xml:space="preserve">  </w:t>
            </w:r>
            <w:r w:rsidRPr="008930E7">
              <w:rPr>
                <w:rFonts w:asciiTheme="minorHAnsi" w:hAnsiTheme="minorHAnsi" w:cstheme="minorHAnsi"/>
                <w:szCs w:val="24"/>
              </w:rPr>
              <w:t xml:space="preserve">pavimentos,  com  as  cotas  de  recuos,  o  gabarito  de </w:t>
            </w:r>
            <w:r w:rsidRPr="008930E7">
              <w:rPr>
                <w:rFonts w:asciiTheme="minorHAnsi" w:hAnsiTheme="minorHAnsi" w:cstheme="minorHAnsi"/>
                <w:szCs w:val="24"/>
              </w:rPr>
              <w:br/>
              <w:t>altura e indicação da área de cada pavimento.</w:t>
            </w:r>
            <w:r>
              <w:rPr>
                <w:rFonts w:asciiTheme="minorHAnsi" w:hAnsiTheme="minorHAnsi" w:cstheme="minorHAnsi"/>
                <w:szCs w:val="24"/>
              </w:rPr>
              <w:tab/>
            </w:r>
          </w:p>
        </w:tc>
      </w:tr>
    </w:tbl>
    <w:p w:rsidR="00A779B8" w:rsidRPr="00724E61" w:rsidP="00A779B8">
      <w:pPr>
        <w:spacing w:before="240" w:after="240" w:line="360" w:lineRule="auto"/>
        <w:ind w:firstLine="2268"/>
        <w:jc w:val="both"/>
        <w:rPr>
          <w:rFonts w:asciiTheme="minorHAnsi" w:hAnsiTheme="minorHAnsi" w:cstheme="minorHAnsi"/>
          <w:szCs w:val="24"/>
        </w:rPr>
      </w:pPr>
      <w:r w:rsidRPr="00FC62DB">
        <w:rPr>
          <w:rFonts w:asciiTheme="minorHAnsi" w:hAnsiTheme="minorHAnsi" w:cs="Calibri"/>
          <w:szCs w:val="24"/>
        </w:rPr>
        <w:t>No que tange aos projetos de emendas o Regimento Interno desta Casa de Leis assim estabelece:</w:t>
      </w:r>
    </w:p>
    <w:p w:rsidR="00A779B8" w:rsidRPr="00FC62DB" w:rsidP="001604ED">
      <w:pPr>
        <w:autoSpaceDE w:val="0"/>
        <w:autoSpaceDN w:val="0"/>
        <w:adjustRightInd w:val="0"/>
        <w:spacing w:after="120" w:line="300" w:lineRule="auto"/>
        <w:ind w:left="2835"/>
        <w:jc w:val="both"/>
        <w:rPr>
          <w:rFonts w:asciiTheme="minorHAnsi" w:hAnsiTheme="minorHAnsi" w:cs="Calibri"/>
          <w:i/>
          <w:color w:val="000000"/>
          <w:sz w:val="22"/>
          <w:szCs w:val="22"/>
          <w:u w:val="single"/>
        </w:rPr>
      </w:pPr>
      <w:r w:rsidRPr="00FC62DB">
        <w:rPr>
          <w:rFonts w:asciiTheme="minorHAnsi" w:hAnsiTheme="minorHAnsi" w:cs="Calibri"/>
          <w:i/>
          <w:color w:val="000000"/>
          <w:sz w:val="22"/>
          <w:szCs w:val="22"/>
        </w:rPr>
        <w:t xml:space="preserve">Art. 140. </w:t>
      </w:r>
      <w:r w:rsidRPr="001604ED">
        <w:rPr>
          <w:rFonts w:asciiTheme="minorHAnsi" w:hAnsiTheme="minorHAnsi" w:cs="Calibri"/>
          <w:b/>
          <w:i/>
          <w:color w:val="000000"/>
          <w:sz w:val="22"/>
          <w:szCs w:val="22"/>
          <w:u w:val="single"/>
        </w:rPr>
        <w:t>Emenda é a correção apresentada a um dispositivo de projeto de lei ou de resolução.</w:t>
      </w:r>
      <w:r w:rsidRPr="00FC62DB">
        <w:rPr>
          <w:rFonts w:asciiTheme="minorHAnsi" w:hAnsiTheme="minorHAnsi" w:cs="Calibri"/>
          <w:i/>
          <w:color w:val="000000"/>
          <w:sz w:val="22"/>
          <w:szCs w:val="22"/>
          <w:u w:val="single"/>
        </w:rPr>
        <w:t xml:space="preserve"> </w:t>
      </w:r>
    </w:p>
    <w:p w:rsidR="00A779B8" w:rsidRPr="00FC140B" w:rsidP="001604ED">
      <w:pPr>
        <w:autoSpaceDE w:val="0"/>
        <w:autoSpaceDN w:val="0"/>
        <w:adjustRightInd w:val="0"/>
        <w:spacing w:after="120" w:line="300" w:lineRule="auto"/>
        <w:ind w:left="2835"/>
        <w:jc w:val="both"/>
        <w:rPr>
          <w:rFonts w:asciiTheme="minorHAnsi" w:hAnsiTheme="minorHAnsi" w:cs="Calibri"/>
          <w:i/>
          <w:color w:val="000000"/>
          <w:sz w:val="22"/>
          <w:szCs w:val="22"/>
        </w:rPr>
      </w:pPr>
      <w:r w:rsidRPr="00FC140B">
        <w:rPr>
          <w:rFonts w:asciiTheme="minorHAnsi" w:hAnsiTheme="minorHAnsi" w:cs="Calibri"/>
          <w:i/>
          <w:color w:val="000000"/>
          <w:sz w:val="22"/>
          <w:szCs w:val="22"/>
        </w:rPr>
        <w:t xml:space="preserve">§ 1º. Emenda supressiva é a que manda suprimir, em parte ou no todo, o artigo do projeto. </w:t>
      </w:r>
    </w:p>
    <w:p w:rsidR="00A779B8" w:rsidRPr="001604ED" w:rsidP="001604ED">
      <w:pPr>
        <w:autoSpaceDE w:val="0"/>
        <w:autoSpaceDN w:val="0"/>
        <w:adjustRightInd w:val="0"/>
        <w:spacing w:after="120" w:line="300" w:lineRule="auto"/>
        <w:ind w:left="2835"/>
        <w:jc w:val="both"/>
        <w:rPr>
          <w:rFonts w:asciiTheme="minorHAnsi" w:hAnsiTheme="minorHAnsi" w:cs="Calibri"/>
          <w:b/>
          <w:i/>
          <w:color w:val="000000"/>
          <w:sz w:val="22"/>
          <w:szCs w:val="22"/>
        </w:rPr>
      </w:pPr>
      <w:r w:rsidRPr="001604ED">
        <w:rPr>
          <w:rFonts w:asciiTheme="minorHAnsi" w:hAnsiTheme="minorHAnsi" w:cs="Calibri"/>
          <w:b/>
          <w:i/>
          <w:color w:val="000000"/>
          <w:sz w:val="22"/>
          <w:szCs w:val="22"/>
        </w:rPr>
        <w:t xml:space="preserve">§ 2º. Emenda substitutiva é a que deve ser colocada no lugar do artigo. </w:t>
      </w:r>
    </w:p>
    <w:p w:rsidR="00A779B8" w:rsidRPr="001604ED" w:rsidP="001604ED">
      <w:pPr>
        <w:autoSpaceDE w:val="0"/>
        <w:autoSpaceDN w:val="0"/>
        <w:adjustRightInd w:val="0"/>
        <w:spacing w:after="120" w:line="300" w:lineRule="auto"/>
        <w:ind w:left="2835"/>
        <w:jc w:val="both"/>
        <w:rPr>
          <w:rFonts w:asciiTheme="minorHAnsi" w:hAnsiTheme="minorHAnsi" w:cs="Calibri"/>
          <w:i/>
          <w:color w:val="000000"/>
          <w:sz w:val="22"/>
          <w:szCs w:val="22"/>
        </w:rPr>
      </w:pPr>
      <w:r w:rsidRPr="001604ED">
        <w:rPr>
          <w:rFonts w:asciiTheme="minorHAnsi" w:hAnsiTheme="minorHAnsi" w:cs="Calibri"/>
          <w:i/>
          <w:color w:val="000000"/>
          <w:sz w:val="22"/>
          <w:szCs w:val="22"/>
        </w:rPr>
        <w:t xml:space="preserve">§ 3º. Emenda aditiva é a que deve ser acrescentada aos termos do artigo. </w:t>
      </w:r>
    </w:p>
    <w:p w:rsidR="00A779B8" w:rsidRPr="001604ED" w:rsidP="001604ED">
      <w:pPr>
        <w:autoSpaceDE w:val="0"/>
        <w:autoSpaceDN w:val="0"/>
        <w:adjustRightInd w:val="0"/>
        <w:spacing w:after="120" w:line="300" w:lineRule="auto"/>
        <w:ind w:left="2835"/>
        <w:jc w:val="both"/>
        <w:rPr>
          <w:rFonts w:asciiTheme="minorHAnsi" w:hAnsiTheme="minorHAnsi" w:cs="Calibri"/>
          <w:i/>
          <w:color w:val="000000"/>
          <w:sz w:val="22"/>
          <w:szCs w:val="22"/>
        </w:rPr>
      </w:pPr>
      <w:r w:rsidRPr="001604ED">
        <w:rPr>
          <w:rFonts w:asciiTheme="minorHAnsi" w:hAnsiTheme="minorHAnsi" w:cs="Calibri"/>
          <w:i/>
          <w:color w:val="000000"/>
          <w:sz w:val="22"/>
          <w:szCs w:val="22"/>
        </w:rPr>
        <w:t xml:space="preserve">§ 4º. Emenda modificativa é a que se refere apenas à redação do artigo, sem alterar a sua substância. </w:t>
      </w:r>
    </w:p>
    <w:p w:rsidR="00A779B8" w:rsidRPr="00FC62DB" w:rsidP="001604ED">
      <w:pPr>
        <w:autoSpaceDE w:val="0"/>
        <w:autoSpaceDN w:val="0"/>
        <w:adjustRightInd w:val="0"/>
        <w:spacing w:after="120" w:line="300" w:lineRule="auto"/>
        <w:ind w:left="2835"/>
        <w:jc w:val="both"/>
        <w:rPr>
          <w:rFonts w:asciiTheme="minorHAnsi" w:hAnsiTheme="minorHAnsi" w:cs="Calibri"/>
          <w:i/>
          <w:color w:val="000000"/>
          <w:sz w:val="22"/>
          <w:szCs w:val="22"/>
        </w:rPr>
      </w:pPr>
      <w:r w:rsidRPr="00FC62DB">
        <w:rPr>
          <w:rFonts w:asciiTheme="minorHAnsi" w:hAnsiTheme="minorHAnsi" w:cs="Calibri"/>
          <w:i/>
          <w:color w:val="000000"/>
          <w:sz w:val="22"/>
          <w:szCs w:val="22"/>
        </w:rPr>
        <w:t xml:space="preserve">§ 5º. A emenda apresentada à outra emenda denomina-se subemenda. </w:t>
      </w:r>
    </w:p>
    <w:p w:rsidR="00A779B8" w:rsidRPr="00FC62DB" w:rsidP="001604ED">
      <w:pPr>
        <w:autoSpaceDE w:val="0"/>
        <w:autoSpaceDN w:val="0"/>
        <w:adjustRightInd w:val="0"/>
        <w:spacing w:after="120" w:line="300" w:lineRule="auto"/>
        <w:ind w:left="2835"/>
        <w:jc w:val="both"/>
        <w:rPr>
          <w:rFonts w:asciiTheme="minorHAnsi" w:hAnsiTheme="minorHAnsi" w:cs="Calibri"/>
          <w:b/>
          <w:i/>
          <w:color w:val="000000"/>
          <w:sz w:val="22"/>
          <w:szCs w:val="22"/>
        </w:rPr>
      </w:pPr>
      <w:r w:rsidRPr="00FC62DB">
        <w:rPr>
          <w:rFonts w:asciiTheme="minorHAnsi" w:hAnsiTheme="minorHAnsi" w:cs="Calibri"/>
          <w:i/>
          <w:color w:val="000000"/>
          <w:sz w:val="22"/>
          <w:szCs w:val="22"/>
        </w:rPr>
        <w:t xml:space="preserve">Art. 141. </w:t>
      </w:r>
      <w:r w:rsidRPr="00FC62DB">
        <w:rPr>
          <w:rFonts w:asciiTheme="minorHAnsi" w:hAnsiTheme="minorHAnsi" w:cs="Calibri"/>
          <w:b/>
          <w:i/>
          <w:color w:val="000000"/>
          <w:sz w:val="22"/>
          <w:szCs w:val="22"/>
        </w:rPr>
        <w:t xml:space="preserve">Não serão aceitos substitutivos, emendas ou subemendas que não tenham relação direta ou imediata com a matéria da proposição principal. </w:t>
      </w:r>
    </w:p>
    <w:p w:rsidR="00A779B8" w:rsidRPr="00FC62DB" w:rsidP="001604ED">
      <w:pPr>
        <w:autoSpaceDE w:val="0"/>
        <w:autoSpaceDN w:val="0"/>
        <w:adjustRightInd w:val="0"/>
        <w:spacing w:after="120" w:line="300" w:lineRule="auto"/>
        <w:ind w:left="2835"/>
        <w:jc w:val="both"/>
        <w:rPr>
          <w:rFonts w:asciiTheme="minorHAnsi" w:hAnsiTheme="minorHAnsi" w:cs="Calibri"/>
          <w:i/>
          <w:color w:val="000000"/>
          <w:sz w:val="22"/>
          <w:szCs w:val="22"/>
        </w:rPr>
      </w:pPr>
      <w:r w:rsidRPr="00FC62DB">
        <w:rPr>
          <w:rFonts w:asciiTheme="minorHAnsi" w:hAnsiTheme="minorHAnsi" w:cs="Calibri"/>
          <w:i/>
          <w:color w:val="000000"/>
          <w:sz w:val="22"/>
          <w:szCs w:val="22"/>
        </w:rPr>
        <w:t xml:space="preserve">§ 1º. O autor do projeto que receber substitutivo ou </w:t>
      </w:r>
      <w:r w:rsidRPr="00FC62DB">
        <w:rPr>
          <w:rFonts w:asciiTheme="minorHAnsi" w:hAnsiTheme="minorHAnsi" w:cs="Calibri"/>
          <w:i/>
          <w:color w:val="000000"/>
          <w:sz w:val="22"/>
          <w:szCs w:val="22"/>
        </w:rPr>
        <w:t>emenda estranhos</w:t>
      </w:r>
      <w:r w:rsidRPr="00FC62DB">
        <w:rPr>
          <w:rFonts w:asciiTheme="minorHAnsi" w:hAnsiTheme="minorHAnsi" w:cs="Calibri"/>
          <w:i/>
          <w:color w:val="000000"/>
          <w:sz w:val="22"/>
          <w:szCs w:val="22"/>
        </w:rPr>
        <w:t xml:space="preserve"> ao seu objetivo terá o direito de reclamar contra a sua admissão, competindo ao Presidente decidir sobre a reclamação. </w:t>
      </w:r>
    </w:p>
    <w:p w:rsidR="00A779B8" w:rsidRPr="00FC62DB" w:rsidP="001604ED">
      <w:pPr>
        <w:autoSpaceDE w:val="0"/>
        <w:autoSpaceDN w:val="0"/>
        <w:adjustRightInd w:val="0"/>
        <w:spacing w:after="120" w:line="300" w:lineRule="auto"/>
        <w:ind w:left="2835"/>
        <w:jc w:val="both"/>
        <w:rPr>
          <w:rFonts w:asciiTheme="minorHAnsi" w:hAnsiTheme="minorHAnsi" w:cs="Calibri"/>
          <w:i/>
          <w:color w:val="000000"/>
          <w:sz w:val="22"/>
          <w:szCs w:val="22"/>
        </w:rPr>
      </w:pPr>
      <w:r w:rsidRPr="00FC62DB">
        <w:rPr>
          <w:rFonts w:asciiTheme="minorHAnsi" w:hAnsiTheme="minorHAnsi" w:cs="Calibri"/>
          <w:i/>
          <w:color w:val="000000"/>
          <w:sz w:val="22"/>
          <w:szCs w:val="22"/>
        </w:rPr>
        <w:t>§ 2º. Da decisão do Presidente caberá recurso ao Plenário, a ser proposto pelo autor do projeto ou do substitutivo ou emenda.</w:t>
      </w:r>
    </w:p>
    <w:p w:rsidR="00A779B8" w:rsidP="00A779B8">
      <w:pPr>
        <w:autoSpaceDE w:val="0"/>
        <w:autoSpaceDN w:val="0"/>
        <w:adjustRightInd w:val="0"/>
        <w:spacing w:before="120"/>
        <w:ind w:left="2835"/>
        <w:jc w:val="both"/>
        <w:rPr>
          <w:rFonts w:asciiTheme="minorHAnsi" w:hAnsiTheme="minorHAnsi" w:cs="Calibri"/>
          <w:i/>
          <w:color w:val="000000"/>
          <w:sz w:val="12"/>
          <w:szCs w:val="12"/>
        </w:rPr>
      </w:pPr>
    </w:p>
    <w:p w:rsidR="00E86B5F" w:rsidP="00C669D7">
      <w:pPr>
        <w:autoSpaceDE w:val="0"/>
        <w:autoSpaceDN w:val="0"/>
        <w:adjustRightInd w:val="0"/>
        <w:spacing w:before="240" w:after="240" w:line="360" w:lineRule="auto"/>
        <w:ind w:firstLine="2268"/>
        <w:jc w:val="both"/>
        <w:rPr>
          <w:rFonts w:asciiTheme="minorHAnsi" w:hAnsiTheme="minorHAnsi" w:cs="Calibri"/>
          <w:szCs w:val="24"/>
        </w:rPr>
      </w:pPr>
      <w:r w:rsidRPr="00FC62DB">
        <w:rPr>
          <w:rFonts w:asciiTheme="minorHAnsi" w:hAnsiTheme="minorHAnsi" w:cs="Calibri"/>
          <w:szCs w:val="24"/>
        </w:rPr>
        <w:t xml:space="preserve">Destarte, </w:t>
      </w:r>
      <w:r>
        <w:rPr>
          <w:rFonts w:asciiTheme="minorHAnsi" w:hAnsiTheme="minorHAnsi" w:cs="Calibri"/>
          <w:szCs w:val="24"/>
        </w:rPr>
        <w:t xml:space="preserve">verifica-se </w:t>
      </w:r>
      <w:r w:rsidRPr="00FC62DB">
        <w:rPr>
          <w:rFonts w:asciiTheme="minorHAnsi" w:hAnsiTheme="minorHAnsi" w:cs="Calibri"/>
          <w:szCs w:val="24"/>
        </w:rPr>
        <w:t>que o projeto de emenda atende aos dispositivos do</w:t>
      </w:r>
      <w:r>
        <w:rPr>
          <w:rFonts w:asciiTheme="minorHAnsi" w:hAnsiTheme="minorHAnsi" w:cs="Calibri"/>
          <w:szCs w:val="24"/>
        </w:rPr>
        <w:t xml:space="preserve"> Regimento Interno da Câmara, </w:t>
      </w:r>
      <w:r w:rsidRPr="00FF69A7">
        <w:rPr>
          <w:rFonts w:asciiTheme="minorHAnsi" w:eastAsiaTheme="minorHAnsi" w:hAnsiTheme="minorHAnsi" w:cstheme="minorHAnsi"/>
          <w:bCs/>
          <w:lang w:eastAsia="en-US"/>
        </w:rPr>
        <w:t>tratando-se de emenda que</w:t>
      </w:r>
      <w:r w:rsidR="00623196">
        <w:rPr>
          <w:rFonts w:asciiTheme="minorHAnsi" w:eastAsiaTheme="minorHAnsi" w:hAnsiTheme="minorHAnsi" w:cstheme="minorHAnsi"/>
          <w:bCs/>
          <w:lang w:eastAsia="en-US"/>
        </w:rPr>
        <w:t xml:space="preserve">, </w:t>
      </w:r>
      <w:r w:rsidR="00623196">
        <w:rPr>
          <w:rFonts w:asciiTheme="minorHAnsi" w:eastAsiaTheme="minorHAnsi" w:hAnsiTheme="minorHAnsi" w:cstheme="minorHAnsi"/>
          <w:bCs/>
          <w:lang w:eastAsia="en-US"/>
        </w:rPr>
        <w:t>s.m.j</w:t>
      </w:r>
      <w:r w:rsidR="00623196">
        <w:rPr>
          <w:rFonts w:asciiTheme="minorHAnsi" w:eastAsiaTheme="minorHAnsi" w:hAnsiTheme="minorHAnsi" w:cstheme="minorHAnsi"/>
          <w:bCs/>
          <w:lang w:eastAsia="en-US"/>
        </w:rPr>
        <w:t>,</w:t>
      </w:r>
      <w:r w:rsidR="00623196">
        <w:rPr>
          <w:rFonts w:asciiTheme="minorHAnsi" w:eastAsiaTheme="minorHAnsi" w:hAnsiTheme="minorHAnsi" w:cstheme="minorHAnsi"/>
          <w:bCs/>
          <w:lang w:eastAsia="en-US"/>
        </w:rPr>
        <w:t xml:space="preserve"> </w:t>
      </w:r>
      <w:r w:rsidRPr="00FF69A7">
        <w:rPr>
          <w:rFonts w:asciiTheme="minorHAnsi" w:eastAsiaTheme="minorHAnsi" w:hAnsiTheme="minorHAnsi" w:cstheme="minorHAnsi"/>
          <w:bCs/>
          <w:lang w:eastAsia="en-US"/>
        </w:rPr>
        <w:t xml:space="preserve"> </w:t>
      </w:r>
      <w:r w:rsidRPr="00FF69A7">
        <w:rPr>
          <w:rFonts w:asciiTheme="minorHAnsi" w:eastAsiaTheme="minorHAnsi" w:hAnsiTheme="minorHAnsi" w:cstheme="minorHAnsi"/>
          <w:bCs/>
          <w:lang w:eastAsia="en-US"/>
        </w:rPr>
        <w:t>tem relação direta com a matéria da proposição principal,</w:t>
      </w:r>
      <w:r w:rsidRPr="00FF69A7">
        <w:rPr>
          <w:rFonts w:asciiTheme="minorHAnsi" w:hAnsiTheme="minorHAnsi" w:cstheme="minorHAnsi"/>
        </w:rPr>
        <w:t xml:space="preserve"> não havendo óbice na sua tramitação.</w:t>
      </w:r>
    </w:p>
    <w:p w:rsidR="00E86B5F" w:rsidRPr="00F50ADA" w:rsidP="00C669D7">
      <w:pPr>
        <w:pStyle w:val="Heading3"/>
        <w:shd w:val="clear" w:color="auto" w:fill="FFFFFF"/>
        <w:spacing w:before="240" w:after="240" w:line="360" w:lineRule="auto"/>
        <w:ind w:firstLine="2268"/>
        <w:jc w:val="both"/>
        <w:rPr>
          <w:rFonts w:asciiTheme="minorHAnsi" w:eastAsiaTheme="minorHAnsi" w:hAnsiTheme="minorHAnsi" w:cstheme="minorHAnsi"/>
          <w:bCs w:val="0"/>
          <w:color w:val="auto"/>
          <w:szCs w:val="24"/>
          <w:lang w:eastAsia="en-US"/>
        </w:rPr>
      </w:pPr>
      <w:r w:rsidRPr="00FF69A7">
        <w:rPr>
          <w:rFonts w:asciiTheme="minorHAnsi" w:eastAsiaTheme="minorHAnsi" w:hAnsiTheme="minorHAnsi" w:cstheme="minorHAnsi"/>
          <w:b w:val="0"/>
          <w:bCs w:val="0"/>
          <w:color w:val="auto"/>
          <w:szCs w:val="24"/>
          <w:lang w:eastAsia="en-US"/>
        </w:rPr>
        <w:t>Noutro aspecto, cabe ressaltar que em projetos de iniciativa do E</w:t>
      </w:r>
      <w:r>
        <w:rPr>
          <w:rFonts w:asciiTheme="minorHAnsi" w:eastAsiaTheme="minorHAnsi" w:hAnsiTheme="minorHAnsi" w:cstheme="minorHAnsi"/>
          <w:b w:val="0"/>
          <w:bCs w:val="0"/>
          <w:color w:val="auto"/>
          <w:szCs w:val="24"/>
          <w:lang w:eastAsia="en-US"/>
        </w:rPr>
        <w:t>xecutivo resta pacific</w:t>
      </w:r>
      <w:r w:rsidRPr="00FF69A7">
        <w:rPr>
          <w:rFonts w:asciiTheme="minorHAnsi" w:eastAsiaTheme="minorHAnsi" w:hAnsiTheme="minorHAnsi" w:cstheme="minorHAnsi"/>
          <w:b w:val="0"/>
          <w:bCs w:val="0"/>
          <w:color w:val="auto"/>
          <w:szCs w:val="24"/>
          <w:lang w:eastAsia="en-US"/>
        </w:rPr>
        <w:t>o n</w:t>
      </w:r>
      <w:r>
        <w:rPr>
          <w:rFonts w:asciiTheme="minorHAnsi" w:eastAsiaTheme="minorHAnsi" w:hAnsiTheme="minorHAnsi" w:cstheme="minorHAnsi"/>
          <w:b w:val="0"/>
          <w:bCs w:val="0"/>
          <w:color w:val="auto"/>
          <w:szCs w:val="24"/>
          <w:lang w:eastAsia="en-US"/>
        </w:rPr>
        <w:t>a</w:t>
      </w:r>
      <w:r w:rsidRPr="00FF69A7">
        <w:rPr>
          <w:rFonts w:asciiTheme="minorHAnsi" w:eastAsiaTheme="minorHAnsi" w:hAnsiTheme="minorHAnsi" w:cstheme="minorHAnsi"/>
          <w:b w:val="0"/>
          <w:bCs w:val="0"/>
          <w:color w:val="auto"/>
          <w:szCs w:val="24"/>
          <w:lang w:eastAsia="en-US"/>
        </w:rPr>
        <w:t xml:space="preserve"> </w:t>
      </w:r>
      <w:r w:rsidR="008C1CAB">
        <w:rPr>
          <w:rFonts w:asciiTheme="minorHAnsi" w:eastAsiaTheme="minorHAnsi" w:hAnsiTheme="minorHAnsi" w:cstheme="minorHAnsi"/>
          <w:b w:val="0"/>
          <w:bCs w:val="0"/>
          <w:color w:val="auto"/>
          <w:szCs w:val="24"/>
          <w:lang w:eastAsia="en-US"/>
        </w:rPr>
        <w:t xml:space="preserve">C. </w:t>
      </w:r>
      <w:r w:rsidRPr="00FF69A7">
        <w:rPr>
          <w:rFonts w:asciiTheme="minorHAnsi" w:eastAsiaTheme="minorHAnsi" w:hAnsiTheme="minorHAnsi" w:cstheme="minorHAnsi"/>
          <w:b w:val="0"/>
          <w:bCs w:val="0"/>
          <w:color w:val="auto"/>
          <w:szCs w:val="24"/>
          <w:lang w:eastAsia="en-US"/>
        </w:rPr>
        <w:t>Suprema Corte a possibi</w:t>
      </w:r>
      <w:r w:rsidR="008930E7">
        <w:rPr>
          <w:rFonts w:asciiTheme="minorHAnsi" w:eastAsiaTheme="minorHAnsi" w:hAnsiTheme="minorHAnsi" w:cstheme="minorHAnsi"/>
          <w:b w:val="0"/>
          <w:bCs w:val="0"/>
          <w:color w:val="auto"/>
          <w:szCs w:val="24"/>
          <w:lang w:eastAsia="en-US"/>
        </w:rPr>
        <w:t xml:space="preserve">lidade de emendas parlamentares, </w:t>
      </w:r>
      <w:r w:rsidRPr="00121CF5">
        <w:rPr>
          <w:rFonts w:asciiTheme="minorHAnsi" w:eastAsiaTheme="minorHAnsi" w:hAnsiTheme="minorHAnsi" w:cstheme="minorHAnsi"/>
          <w:bCs w:val="0"/>
          <w:color w:val="auto"/>
          <w:szCs w:val="24"/>
          <w:lang w:eastAsia="en-US"/>
        </w:rPr>
        <w:t>desde que guardem pertinência temática com o projeto e não importem em aumento de despesas</w:t>
      </w:r>
      <w:r w:rsidRPr="00F50ADA">
        <w:rPr>
          <w:rFonts w:asciiTheme="minorHAnsi" w:eastAsiaTheme="minorHAnsi" w:hAnsiTheme="minorHAnsi" w:cstheme="minorHAnsi"/>
          <w:bCs w:val="0"/>
          <w:color w:val="auto"/>
          <w:szCs w:val="24"/>
          <w:u w:val="single"/>
          <w:lang w:eastAsia="en-US"/>
        </w:rPr>
        <w:t>:</w:t>
      </w:r>
    </w:p>
    <w:p w:rsidR="00E86B5F" w:rsidRPr="00FF69A7" w:rsidP="00F50ADA">
      <w:pPr>
        <w:pStyle w:val="Heading3"/>
        <w:shd w:val="clear" w:color="auto" w:fill="FFFFFF"/>
        <w:spacing w:before="0" w:after="180"/>
        <w:ind w:left="2835"/>
        <w:jc w:val="both"/>
        <w:rPr>
          <w:rFonts w:asciiTheme="minorHAnsi" w:eastAsiaTheme="minorHAnsi" w:hAnsiTheme="minorHAnsi" w:cstheme="minorHAnsi"/>
          <w:bCs w:val="0"/>
          <w:i/>
          <w:color w:val="auto"/>
          <w:sz w:val="22"/>
          <w:szCs w:val="22"/>
          <w:lang w:eastAsia="en-US"/>
        </w:rPr>
      </w:pPr>
      <w:r w:rsidRPr="00FF69A7">
        <w:rPr>
          <w:rFonts w:asciiTheme="minorHAnsi" w:eastAsiaTheme="minorHAnsi" w:hAnsiTheme="minorHAnsi" w:cstheme="minorHAnsi"/>
          <w:bCs w:val="0"/>
          <w:i/>
          <w:color w:val="auto"/>
          <w:sz w:val="22"/>
          <w:szCs w:val="22"/>
          <w:lang w:eastAsia="en-US"/>
        </w:rPr>
        <w:t>Ementa</w:t>
      </w:r>
    </w:p>
    <w:p w:rsidR="00E86B5F" w:rsidRPr="00FF69A7" w:rsidP="00F50ADA">
      <w:pPr>
        <w:pStyle w:val="NormalWeb"/>
        <w:shd w:val="clear" w:color="auto" w:fill="FFFFFF"/>
        <w:spacing w:before="0" w:beforeAutospacing="0" w:after="0" w:afterAutospacing="0" w:line="276" w:lineRule="auto"/>
        <w:ind w:left="2835"/>
        <w:jc w:val="both"/>
        <w:rPr>
          <w:rFonts w:asciiTheme="minorHAnsi" w:eastAsiaTheme="minorHAnsi" w:hAnsiTheme="minorHAnsi" w:cstheme="minorHAnsi"/>
          <w:i/>
          <w:sz w:val="22"/>
          <w:szCs w:val="22"/>
          <w:lang w:eastAsia="en-US"/>
        </w:rPr>
      </w:pPr>
      <w:r w:rsidRPr="00FF69A7">
        <w:rPr>
          <w:rFonts w:asciiTheme="minorHAnsi" w:eastAsiaTheme="minorHAnsi" w:hAnsiTheme="minorHAnsi" w:cstheme="minorHAnsi"/>
          <w:i/>
          <w:sz w:val="22"/>
          <w:szCs w:val="22"/>
          <w:lang w:eastAsia="en-US"/>
        </w:rPr>
        <w:t>AÇÃO DIRETA DE INCONSTITUCIONALIDADE. ART. 2º DA LEI GAÚCHA N. 11.639/2001. CADASTRO DE CONTRATAÇÕES TEMPORÁRIAS. CRIAÇÃO DE PROCEDIMENTOS ADMINISTRATIVOS QUE DEVEM SER OBSERVADOS PELO PODER EXECUTIVO NA CONTRATAÇÃO DE SERVIDORES TEMPORÁRIOS. EMENDAS PARLAMENTARES EM PROJETO DE LEI DE INICIATIVA DO GOVERNADOR DO ESTADO. INOCORRÊNCIA DE INVASÃO DA COMPETÊNCIA DO CHEFE DO PODER EXECUTIVO. AÇÃO DIRETA DE INCONSTITUCIONALIDADE JULGADA IMPROCEDENTE.</w:t>
      </w:r>
    </w:p>
    <w:p w:rsidR="00E86B5F" w:rsidRPr="00FF69A7" w:rsidP="00F50ADA">
      <w:pPr>
        <w:pStyle w:val="NormalWeb"/>
        <w:shd w:val="clear" w:color="auto" w:fill="FFFFFF"/>
        <w:spacing w:before="120" w:beforeAutospacing="0" w:after="120" w:afterAutospacing="0" w:line="276" w:lineRule="auto"/>
        <w:ind w:left="2835"/>
        <w:jc w:val="both"/>
        <w:rPr>
          <w:rFonts w:asciiTheme="minorHAnsi" w:eastAsiaTheme="minorHAnsi" w:hAnsiTheme="minorHAnsi" w:cstheme="minorHAnsi"/>
          <w:i/>
          <w:sz w:val="22"/>
          <w:szCs w:val="22"/>
          <w:lang w:eastAsia="en-US"/>
        </w:rPr>
      </w:pPr>
      <w:r w:rsidRPr="00FF69A7">
        <w:rPr>
          <w:rFonts w:asciiTheme="minorHAnsi" w:eastAsiaTheme="minorHAnsi" w:hAnsiTheme="minorHAnsi" w:cstheme="minorHAnsi"/>
          <w:i/>
          <w:sz w:val="22"/>
          <w:szCs w:val="22"/>
          <w:lang w:eastAsia="en-US"/>
        </w:rPr>
        <w:t xml:space="preserve">1. </w:t>
      </w:r>
      <w:r w:rsidRPr="00FF69A7">
        <w:rPr>
          <w:rFonts w:asciiTheme="minorHAnsi" w:eastAsiaTheme="minorHAnsi" w:hAnsiTheme="minorHAnsi" w:cstheme="minorHAns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E86B5F" w:rsidRPr="00FF69A7" w:rsidP="00F50ADA">
      <w:pPr>
        <w:pStyle w:val="NormalWeb"/>
        <w:shd w:val="clear" w:color="auto" w:fill="FFFFFF"/>
        <w:spacing w:before="120" w:beforeAutospacing="0" w:after="120" w:afterAutospacing="0" w:line="276" w:lineRule="auto"/>
        <w:ind w:left="2835"/>
        <w:jc w:val="both"/>
        <w:rPr>
          <w:rFonts w:asciiTheme="minorHAnsi" w:eastAsiaTheme="minorHAnsi" w:hAnsiTheme="minorHAnsi" w:cstheme="minorHAnsi"/>
          <w:i/>
          <w:sz w:val="22"/>
          <w:szCs w:val="22"/>
          <w:lang w:eastAsia="en-US"/>
        </w:rPr>
      </w:pPr>
      <w:r w:rsidRPr="00FF69A7">
        <w:rPr>
          <w:rFonts w:asciiTheme="minorHAnsi" w:eastAsiaTheme="minorHAnsi" w:hAnsiTheme="minorHAnsi" w:cstheme="minorHAns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E86B5F" w:rsidRPr="00FF69A7" w:rsidP="00F50ADA">
      <w:pPr>
        <w:pStyle w:val="NormalWeb"/>
        <w:shd w:val="clear" w:color="auto" w:fill="FFFFFF"/>
        <w:spacing w:before="120" w:beforeAutospacing="0" w:after="120" w:afterAutospacing="0" w:line="276" w:lineRule="auto"/>
        <w:ind w:left="2835"/>
        <w:jc w:val="both"/>
        <w:rPr>
          <w:rFonts w:asciiTheme="minorHAnsi" w:eastAsiaTheme="minorHAnsi" w:hAnsiTheme="minorHAnsi" w:cstheme="minorHAnsi"/>
          <w:i/>
          <w:sz w:val="22"/>
          <w:szCs w:val="22"/>
          <w:lang w:eastAsia="en-US"/>
        </w:rPr>
      </w:pPr>
      <w:r w:rsidRPr="00FF69A7">
        <w:rPr>
          <w:rFonts w:asciiTheme="minorHAnsi" w:eastAsiaTheme="minorHAnsi" w:hAnsiTheme="minorHAnsi" w:cstheme="minorHAnsi"/>
          <w:i/>
          <w:sz w:val="22"/>
          <w:szCs w:val="22"/>
          <w:lang w:eastAsia="en-US"/>
        </w:rPr>
        <w:t>3. Ação direta de inconstitucionalidade julgada improcedente.</w:t>
      </w:r>
    </w:p>
    <w:p w:rsidR="00E86B5F" w:rsidP="00F50ADA">
      <w:pPr>
        <w:shd w:val="clear" w:color="auto" w:fill="FFFFFF"/>
        <w:ind w:left="2835"/>
        <w:jc w:val="both"/>
        <w:rPr>
          <w:rFonts w:asciiTheme="minorHAnsi" w:hAnsiTheme="minorHAnsi" w:cstheme="minorHAnsi"/>
          <w:i/>
        </w:rPr>
      </w:pPr>
      <w:r w:rsidRPr="00FF69A7">
        <w:rPr>
          <w:rFonts w:asciiTheme="minorHAnsi" w:hAnsiTheme="minorHAnsi" w:cstheme="minorHAnsi"/>
          <w:i/>
        </w:rPr>
        <w:t>(STF. ADI 2583 RS. Plenário, 01.08.2011</w:t>
      </w:r>
      <w:r w:rsidRPr="00FF69A7">
        <w:rPr>
          <w:rFonts w:asciiTheme="minorHAnsi" w:hAnsiTheme="minorHAnsi" w:cstheme="minorHAnsi"/>
          <w:i/>
        </w:rPr>
        <w:t>)</w:t>
      </w:r>
    </w:p>
    <w:p w:rsidR="00E86B5F" w:rsidRPr="00A87ED2" w:rsidP="00E86B5F">
      <w:pPr>
        <w:shd w:val="clear" w:color="auto" w:fill="FFFFFF"/>
        <w:ind w:left="2268"/>
        <w:jc w:val="both"/>
        <w:rPr>
          <w:rFonts w:asciiTheme="minorHAnsi" w:hAnsiTheme="minorHAnsi" w:cstheme="minorHAnsi"/>
          <w:i/>
          <w:sz w:val="12"/>
          <w:szCs w:val="12"/>
        </w:rPr>
      </w:pPr>
    </w:p>
    <w:p w:rsidR="00E86B5F" w:rsidRPr="00EB73E9" w:rsidP="00F50ADA">
      <w:pPr>
        <w:spacing w:after="240" w:line="360" w:lineRule="auto"/>
        <w:ind w:firstLine="2268"/>
        <w:jc w:val="both"/>
        <w:rPr>
          <w:rFonts w:asciiTheme="minorHAnsi" w:hAnsiTheme="minorHAnsi" w:cstheme="minorHAnsi"/>
          <w:szCs w:val="24"/>
        </w:rPr>
      </w:pPr>
      <w:r w:rsidRPr="00EB73E9">
        <w:rPr>
          <w:rFonts w:asciiTheme="minorHAnsi" w:hAnsiTheme="minorHAnsi" w:cstheme="minorHAnsi"/>
          <w:szCs w:val="24"/>
        </w:rPr>
        <w:t xml:space="preserve">No mesmo sentido o </w:t>
      </w:r>
      <w:r w:rsidR="00CE4CA6">
        <w:rPr>
          <w:rFonts w:asciiTheme="minorHAnsi" w:hAnsiTheme="minorHAnsi" w:cstheme="minorHAnsi"/>
          <w:szCs w:val="24"/>
        </w:rPr>
        <w:t xml:space="preserve">E. </w:t>
      </w:r>
      <w:r w:rsidRPr="00EB73E9">
        <w:rPr>
          <w:rFonts w:asciiTheme="minorHAnsi" w:hAnsiTheme="minorHAnsi" w:cstheme="minorHAnsi"/>
          <w:szCs w:val="24"/>
        </w:rPr>
        <w:t>Tribunal de Justiça do Estado de São Paulo:</w:t>
      </w:r>
    </w:p>
    <w:p w:rsidR="00E86B5F" w:rsidRPr="00A87ED2" w:rsidP="00F50ADA">
      <w:pPr>
        <w:spacing w:after="240"/>
        <w:ind w:left="2835"/>
        <w:jc w:val="both"/>
        <w:rPr>
          <w:rFonts w:asciiTheme="minorHAnsi" w:hAnsiTheme="minorHAnsi" w:cstheme="minorHAnsi"/>
          <w:i/>
          <w:sz w:val="22"/>
          <w:szCs w:val="22"/>
        </w:rPr>
      </w:pPr>
      <w:r w:rsidRPr="00A87ED2">
        <w:rPr>
          <w:rFonts w:asciiTheme="minorHAnsi" w:hAnsiTheme="minorHAnsi" w:cstheme="minorHAnsi"/>
          <w:i/>
          <w:sz w:val="22"/>
          <w:szCs w:val="22"/>
        </w:rPr>
        <w:t xml:space="preserve">PARÂMETRO DE CONSTITUCIONALIDADE. Compatibilidade entre a norma </w:t>
      </w:r>
      <w:r w:rsidRPr="00A87ED2">
        <w:rPr>
          <w:rFonts w:asciiTheme="minorHAnsi" w:hAnsiTheme="minorHAnsi" w:cstheme="minorHAnsi"/>
          <w:i/>
          <w:sz w:val="22"/>
          <w:szCs w:val="22"/>
        </w:rPr>
        <w:t xml:space="preserve">impugnada e dispositivos da Lei Orgânica </w:t>
      </w:r>
      <w:r w:rsidRPr="00A87ED2">
        <w:rPr>
          <w:rFonts w:asciiTheme="minorHAnsi" w:hAnsiTheme="minorHAnsi" w:cstheme="minorHAnsi"/>
          <w:i/>
          <w:sz w:val="22"/>
          <w:szCs w:val="22"/>
        </w:rPr>
        <w:t>Municipal e do Regimento Interno da Câmara</w:t>
      </w:r>
      <w:r w:rsidRPr="00A87ED2">
        <w:rPr>
          <w:rFonts w:asciiTheme="minorHAnsi" w:hAnsiTheme="minorHAnsi" w:cstheme="minorHAnsi"/>
          <w:i/>
          <w:sz w:val="22"/>
          <w:szCs w:val="22"/>
        </w:rPr>
        <w:t xml:space="preserve">. Inadmissibilidade. Aplicação dos artigos 125, § 2º, da CF, e 74, </w:t>
      </w:r>
      <w:r w:rsidRPr="00A87ED2">
        <w:rPr>
          <w:rFonts w:asciiTheme="minorHAnsi" w:hAnsiTheme="minorHAnsi" w:cstheme="minorHAnsi"/>
          <w:i/>
          <w:sz w:val="22"/>
          <w:szCs w:val="22"/>
        </w:rPr>
        <w:t>VI</w:t>
      </w:r>
      <w:r w:rsidRPr="00A87ED2">
        <w:rPr>
          <w:rFonts w:asciiTheme="minorHAnsi" w:hAnsiTheme="minorHAnsi" w:cstheme="minorHAnsi"/>
          <w:i/>
          <w:sz w:val="22"/>
          <w:szCs w:val="22"/>
        </w:rPr>
        <w:t xml:space="preserve">, da CE. Precedentes. Não conheço da ação quanto aos parâmetros apontados LOM e Regimento Interno da Câmara. </w:t>
      </w:r>
    </w:p>
    <w:p w:rsidR="00E86B5F" w:rsidRPr="00A87ED2" w:rsidP="00F50ADA">
      <w:pPr>
        <w:spacing w:after="240"/>
        <w:ind w:left="2835"/>
        <w:jc w:val="both"/>
        <w:rPr>
          <w:rFonts w:asciiTheme="minorHAnsi" w:hAnsiTheme="minorHAnsi" w:cstheme="minorHAnsi"/>
          <w:i/>
          <w:sz w:val="22"/>
          <w:szCs w:val="22"/>
        </w:rPr>
      </w:pPr>
      <w:r w:rsidRPr="00A87ED2">
        <w:rPr>
          <w:rFonts w:asciiTheme="minorHAnsi" w:hAnsiTheme="minorHAnsi" w:cstheme="minorHAnsi"/>
          <w:i/>
          <w:sz w:val="22"/>
          <w:szCs w:val="22"/>
        </w:rPr>
        <w:t xml:space="preserve">AÇÃO DIRETA DE INCONSTITUCIONALIDADE Art. 1º da LC nº 2.064, de 04.03.20, do Município de </w:t>
      </w:r>
      <w:r w:rsidRPr="00A87ED2">
        <w:rPr>
          <w:rFonts w:asciiTheme="minorHAnsi" w:hAnsiTheme="minorHAnsi" w:cstheme="minorHAnsi"/>
          <w:i/>
          <w:sz w:val="22"/>
          <w:szCs w:val="22"/>
        </w:rPr>
        <w:t>Icém</w:t>
      </w:r>
      <w:r w:rsidRPr="00A87ED2">
        <w:rPr>
          <w:rFonts w:asciiTheme="minorHAnsi" w:hAnsiTheme="minorHAnsi" w:cstheme="minorHAnsi"/>
          <w:i/>
          <w:sz w:val="22"/>
          <w:szCs w:val="22"/>
        </w:rPr>
        <w:t xml:space="preserve">,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A87ED2">
        <w:rPr>
          <w:rFonts w:asciiTheme="minorHAnsi" w:hAnsiTheme="minorHAnsi" w:cstheme="minorHAnsi"/>
          <w:b/>
          <w:i/>
          <w:sz w:val="22"/>
          <w:szCs w:val="22"/>
        </w:rPr>
        <w:t>Emenda parlamentar. Possível a realização de emendas parlamentares em projetos de lei de iniciativa reservada ao Poder Executivo, desde que (i) mantenham pertinência temática com o objeto do projeto de lei e (</w:t>
      </w:r>
      <w:r w:rsidRPr="00A87ED2">
        <w:rPr>
          <w:rFonts w:asciiTheme="minorHAnsi" w:hAnsiTheme="minorHAnsi" w:cstheme="minorHAnsi"/>
          <w:b/>
          <w:i/>
          <w:sz w:val="22"/>
          <w:szCs w:val="22"/>
        </w:rPr>
        <w:t>ii</w:t>
      </w:r>
      <w:r w:rsidRPr="00A87ED2">
        <w:rPr>
          <w:rFonts w:asciiTheme="minorHAnsi" w:hAnsiTheme="minorHAnsi" w:cstheme="minorHAnsi"/>
          <w:b/>
          <w:i/>
          <w:sz w:val="22"/>
          <w:szCs w:val="22"/>
        </w:rPr>
        <w:t>) não acarretem aumento de despesa.</w:t>
      </w:r>
      <w:r w:rsidRPr="00A87ED2">
        <w:rPr>
          <w:rFonts w:asciiTheme="minorHAnsi" w:hAnsiTheme="minorHAnsi" w:cstheme="minorHAnsi"/>
          <w:i/>
          <w:sz w:val="22"/>
          <w:szCs w:val="22"/>
        </w:rPr>
        <w:t xml:space="preserve"> Requisitos devidamente observados. Emenda ficou adstrita ao objeto da lei remuneração de servidores. Ademais, não implicou aumento de despesa, promovendo, ao contrário, redução de gastos em comparação com o projeto original. Apontada omissão da emenda quanto aos anexos. Irrelevância. Alterações necessárias </w:t>
      </w:r>
      <w:r w:rsidRPr="00A87ED2">
        <w:rPr>
          <w:rFonts w:asciiTheme="minorHAnsi" w:hAnsiTheme="minorHAnsi" w:cstheme="minorHAnsi"/>
          <w:i/>
          <w:sz w:val="22"/>
          <w:szCs w:val="22"/>
        </w:rPr>
        <w:t>são</w:t>
      </w:r>
      <w:r w:rsidRPr="00A87ED2">
        <w:rPr>
          <w:rFonts w:asciiTheme="minorHAnsi" w:hAnsiTheme="minorHAnsi" w:cstheme="minorHAnsi"/>
          <w:i/>
          <w:sz w:val="22"/>
          <w:szCs w:val="22"/>
        </w:rPr>
        <w:t xml:space="preserve"> decorrência lógica do teor da emenda. Princípio da isonomia. Ausente </w:t>
      </w:r>
      <w:r w:rsidRPr="00A87ED2">
        <w:rPr>
          <w:rFonts w:asciiTheme="minorHAnsi" w:hAnsiTheme="minorHAnsi" w:cstheme="minorHAnsi"/>
          <w:i/>
          <w:sz w:val="22"/>
          <w:szCs w:val="22"/>
        </w:rPr>
        <w:t>a</w:t>
      </w:r>
      <w:r w:rsidRPr="00A87ED2">
        <w:rPr>
          <w:rFonts w:asciiTheme="minorHAnsi" w:hAnsiTheme="minorHAnsi" w:cstheme="minorHAnsi"/>
          <w:i/>
          <w:sz w:val="22"/>
          <w:szCs w:val="22"/>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A87ED2">
        <w:rPr>
          <w:rFonts w:asciiTheme="minorHAnsi" w:hAnsiTheme="minorHAnsi" w:cstheme="minorHAnsi"/>
          <w:i/>
          <w:sz w:val="22"/>
          <w:szCs w:val="22"/>
        </w:rPr>
        <w:t>Eg</w:t>
      </w:r>
      <w:r w:rsidRPr="00A87ED2">
        <w:rPr>
          <w:rFonts w:asciiTheme="minorHAnsi" w:hAnsiTheme="minorHAnsi" w:cstheme="minorHAnsi"/>
          <w:i/>
          <w:sz w:val="22"/>
          <w:szCs w:val="22"/>
        </w:rPr>
        <w:t>. Órgão Especial. Atuação do Judiciário como legislador positivo. Impossibilidade. Aplicação da SV nº 37 ("Não cabe ao Poder Judiciário, que não tem função legislativa, aumentar vencimentos de servidores públicos sob o fundamento de isonomia"). Vícios de inconstitucionalidade não verificados. Ação improcedente, na parte conhecida.</w:t>
      </w:r>
    </w:p>
    <w:p w:rsidR="00E86B5F" w:rsidP="00F50ADA">
      <w:pPr>
        <w:spacing w:after="240" w:line="240" w:lineRule="auto"/>
        <w:ind w:left="2835"/>
        <w:jc w:val="both"/>
        <w:rPr>
          <w:rFonts w:asciiTheme="minorHAnsi" w:hAnsiTheme="minorHAnsi" w:cstheme="minorHAnsi"/>
          <w:i/>
          <w:sz w:val="22"/>
          <w:szCs w:val="22"/>
        </w:rPr>
      </w:pPr>
      <w:r w:rsidRPr="00EB73E9">
        <w:rPr>
          <w:rFonts w:asciiTheme="minorHAnsi" w:hAnsiTheme="minorHAnsi" w:cstheme="minorHAnsi"/>
          <w:i/>
          <w:sz w:val="22"/>
          <w:szCs w:val="22"/>
        </w:rPr>
        <w:t>(TJSP. Adin nº 2044212-77.2020.8.26.0000</w:t>
      </w:r>
      <w:r>
        <w:rPr>
          <w:rFonts w:asciiTheme="minorHAnsi" w:hAnsiTheme="minorHAnsi" w:cstheme="minorHAnsi"/>
          <w:i/>
          <w:sz w:val="22"/>
          <w:szCs w:val="22"/>
        </w:rPr>
        <w:t>. Rel. Des. Evaristo dos Santos. Data de Julgamento: 12/08/2020</w:t>
      </w:r>
      <w:r w:rsidRPr="00EB73E9">
        <w:rPr>
          <w:rFonts w:asciiTheme="minorHAnsi" w:hAnsiTheme="minorHAnsi" w:cstheme="minorHAnsi"/>
          <w:i/>
          <w:sz w:val="22"/>
          <w:szCs w:val="22"/>
        </w:rPr>
        <w:t>)</w:t>
      </w:r>
    </w:p>
    <w:p w:rsidR="00F50ADA" w:rsidRPr="00EB73E9" w:rsidP="00E86B5F">
      <w:pPr>
        <w:spacing w:after="240" w:line="240" w:lineRule="auto"/>
        <w:ind w:left="2268"/>
        <w:jc w:val="both"/>
        <w:rPr>
          <w:rFonts w:asciiTheme="minorHAnsi" w:hAnsiTheme="minorHAnsi" w:cstheme="minorHAnsi"/>
          <w:i/>
          <w:sz w:val="22"/>
          <w:szCs w:val="22"/>
        </w:rPr>
      </w:pPr>
    </w:p>
    <w:p w:rsidR="00F50ADA" w:rsidP="00F50ADA">
      <w:pPr>
        <w:autoSpaceDE w:val="0"/>
        <w:autoSpaceDN w:val="0"/>
        <w:adjustRightInd w:val="0"/>
        <w:spacing w:before="240" w:after="240" w:line="360" w:lineRule="auto"/>
        <w:ind w:firstLine="2268"/>
        <w:jc w:val="both"/>
        <w:rPr>
          <w:rFonts w:ascii="Calibri" w:hAnsi="Calibri" w:cstheme="minorHAnsi"/>
          <w:szCs w:val="24"/>
        </w:rPr>
      </w:pPr>
      <w:r w:rsidRPr="00F50ADA">
        <w:rPr>
          <w:rFonts w:asciiTheme="minorHAnsi" w:hAnsiTheme="minorHAnsi" w:cstheme="minorHAnsi"/>
          <w:szCs w:val="24"/>
        </w:rPr>
        <w:t>Ante o exposto, conclui-se pela legalidade e constitucionalidade do projeto de emenda</w:t>
      </w:r>
      <w:r w:rsidR="00F83AF5">
        <w:rPr>
          <w:rFonts w:asciiTheme="minorHAnsi" w:hAnsiTheme="minorHAnsi" w:cstheme="minorHAnsi"/>
          <w:szCs w:val="24"/>
        </w:rPr>
        <w:t xml:space="preserve"> em ep</w:t>
      </w:r>
      <w:r w:rsidR="00A01417">
        <w:rPr>
          <w:rFonts w:asciiTheme="minorHAnsi" w:hAnsiTheme="minorHAnsi" w:cstheme="minorHAnsi"/>
          <w:szCs w:val="24"/>
        </w:rPr>
        <w:t>ígrafe</w:t>
      </w:r>
      <w:r w:rsidRPr="00FF69A7">
        <w:rPr>
          <w:rFonts w:asciiTheme="minorHAnsi" w:hAnsiTheme="minorHAnsi" w:cstheme="minorHAnsi"/>
          <w:szCs w:val="24"/>
        </w:rPr>
        <w:t>.</w:t>
      </w:r>
      <w:r>
        <w:rPr>
          <w:rFonts w:asciiTheme="minorHAnsi" w:hAnsiTheme="minorHAnsi" w:cstheme="minorHAnsi"/>
          <w:szCs w:val="24"/>
        </w:rPr>
        <w:t xml:space="preserve"> </w:t>
      </w:r>
      <w:r w:rsidRPr="00076B1A" w:rsidR="00A779B8">
        <w:rPr>
          <w:rFonts w:asciiTheme="minorHAnsi" w:hAnsiTheme="minorHAnsi" w:cs="Calibri"/>
          <w:szCs w:val="24"/>
        </w:rPr>
        <w:t>S</w:t>
      </w:r>
      <w:r w:rsidRPr="00076B1A" w:rsidR="00A779B8">
        <w:rPr>
          <w:rFonts w:ascii="Calibri" w:hAnsi="Calibri" w:cstheme="minorHAnsi"/>
          <w:szCs w:val="24"/>
        </w:rPr>
        <w:t xml:space="preserve">obre o mérito, </w:t>
      </w:r>
      <w:r w:rsidR="00F83AF5">
        <w:rPr>
          <w:rFonts w:ascii="Calibri" w:hAnsi="Calibri" w:cstheme="minorHAnsi"/>
          <w:szCs w:val="24"/>
        </w:rPr>
        <w:t>o</w:t>
      </w:r>
      <w:r w:rsidRPr="00076B1A" w:rsidR="00A779B8">
        <w:rPr>
          <w:rFonts w:ascii="Calibri" w:hAnsi="Calibri" w:cstheme="minorHAnsi"/>
          <w:szCs w:val="24"/>
        </w:rPr>
        <w:t xml:space="preserve"> Plenário</w:t>
      </w:r>
      <w:r w:rsidR="00F83AF5">
        <w:rPr>
          <w:rFonts w:ascii="Calibri" w:hAnsi="Calibri" w:cstheme="minorHAnsi"/>
          <w:szCs w:val="24"/>
        </w:rPr>
        <w:t xml:space="preserve"> é soberano</w:t>
      </w:r>
      <w:r w:rsidRPr="00076B1A" w:rsidR="00A779B8">
        <w:rPr>
          <w:rFonts w:ascii="Calibri" w:hAnsi="Calibri" w:cstheme="minorHAnsi"/>
          <w:szCs w:val="24"/>
        </w:rPr>
        <w:t>.</w:t>
      </w:r>
    </w:p>
    <w:p w:rsidR="00F50ADA" w:rsidP="00F50ADA">
      <w:pPr>
        <w:autoSpaceDE w:val="0"/>
        <w:autoSpaceDN w:val="0"/>
        <w:adjustRightInd w:val="0"/>
        <w:spacing w:before="240" w:after="240" w:line="360" w:lineRule="auto"/>
        <w:ind w:firstLine="2268"/>
        <w:jc w:val="both"/>
        <w:rPr>
          <w:rFonts w:ascii="Calibri" w:hAnsi="Calibri" w:cstheme="minorHAnsi"/>
          <w:szCs w:val="24"/>
        </w:rPr>
      </w:pPr>
      <w:r>
        <w:rPr>
          <w:rFonts w:ascii="Calibri" w:hAnsi="Calibri" w:cs="Calibri"/>
          <w:szCs w:val="24"/>
        </w:rPr>
        <w:t>É o parecer, a superior consideração.</w:t>
      </w:r>
    </w:p>
    <w:p w:rsidR="00A779B8" w:rsidP="00F50ADA">
      <w:pPr>
        <w:autoSpaceDE w:val="0"/>
        <w:autoSpaceDN w:val="0"/>
        <w:adjustRightInd w:val="0"/>
        <w:spacing w:before="240" w:after="240" w:line="360" w:lineRule="auto"/>
        <w:ind w:firstLine="2268"/>
        <w:jc w:val="both"/>
        <w:rPr>
          <w:rFonts w:ascii="Calibri" w:hAnsi="Calibri" w:cs="Calibri"/>
          <w:szCs w:val="24"/>
        </w:rPr>
      </w:pPr>
      <w:r w:rsidRPr="003A7521">
        <w:rPr>
          <w:rFonts w:ascii="Calibri" w:hAnsi="Calibri" w:cs="Calibri"/>
          <w:szCs w:val="24"/>
        </w:rPr>
        <w:t>Procuradoria</w:t>
      </w:r>
      <w:r>
        <w:rPr>
          <w:rFonts w:ascii="Calibri" w:hAnsi="Calibri" w:cs="Calibri"/>
          <w:szCs w:val="24"/>
        </w:rPr>
        <w:t xml:space="preserve">, </w:t>
      </w:r>
      <w:r w:rsidR="008930E7">
        <w:rPr>
          <w:rFonts w:ascii="Calibri" w:hAnsi="Calibri" w:cs="Calibri"/>
          <w:szCs w:val="24"/>
        </w:rPr>
        <w:t>25</w:t>
      </w:r>
      <w:r w:rsidRPr="003A7521">
        <w:rPr>
          <w:rFonts w:ascii="Calibri" w:hAnsi="Calibri" w:cs="Calibri"/>
          <w:szCs w:val="24"/>
        </w:rPr>
        <w:t xml:space="preserve"> de </w:t>
      </w:r>
      <w:r w:rsidR="001604ED">
        <w:rPr>
          <w:rFonts w:ascii="Calibri" w:hAnsi="Calibri" w:cs="Calibri"/>
          <w:szCs w:val="24"/>
        </w:rPr>
        <w:t>abril</w:t>
      </w:r>
      <w:r w:rsidRPr="003A7521">
        <w:rPr>
          <w:rFonts w:ascii="Calibri" w:hAnsi="Calibri" w:cs="Calibri"/>
          <w:szCs w:val="24"/>
        </w:rPr>
        <w:t xml:space="preserve"> de 202</w:t>
      </w:r>
      <w:r>
        <w:rPr>
          <w:rFonts w:ascii="Calibri" w:hAnsi="Calibri" w:cs="Calibri"/>
          <w:szCs w:val="24"/>
        </w:rPr>
        <w:t>2</w:t>
      </w:r>
      <w:r w:rsidRPr="003A7521">
        <w:rPr>
          <w:rFonts w:ascii="Calibri" w:hAnsi="Calibri" w:cs="Calibri"/>
          <w:szCs w:val="24"/>
        </w:rPr>
        <w:t>.</w:t>
      </w:r>
    </w:p>
    <w:p w:rsidR="00AD055D" w:rsidP="00F50ADA">
      <w:pPr>
        <w:pStyle w:val="BodyText"/>
        <w:spacing w:after="0" w:line="240" w:lineRule="auto"/>
        <w:jc w:val="center"/>
        <w:rPr>
          <w:rFonts w:ascii="Calibri" w:hAnsi="Calibri" w:cs="Calibri"/>
          <w:b/>
          <w:szCs w:val="24"/>
        </w:rPr>
      </w:pPr>
    </w:p>
    <w:p w:rsidR="00A779B8" w:rsidRPr="003A7521" w:rsidP="00F50ADA">
      <w:pPr>
        <w:pStyle w:val="BodyText"/>
        <w:spacing w:after="0" w:line="240" w:lineRule="auto"/>
        <w:jc w:val="center"/>
        <w:rPr>
          <w:rFonts w:ascii="Calibri" w:hAnsi="Calibri" w:cs="Calibri"/>
          <w:b/>
          <w:szCs w:val="24"/>
        </w:rPr>
      </w:pPr>
      <w:r>
        <w:rPr>
          <w:rFonts w:ascii="Calibri" w:hAnsi="Calibri" w:cs="Calibri"/>
          <w:b/>
          <w:szCs w:val="24"/>
        </w:rPr>
        <w:t xml:space="preserve">Tiago Fadel </w:t>
      </w:r>
      <w:r>
        <w:rPr>
          <w:rFonts w:ascii="Calibri" w:hAnsi="Calibri" w:cs="Calibri"/>
          <w:b/>
          <w:szCs w:val="24"/>
        </w:rPr>
        <w:t>Malghosian</w:t>
      </w:r>
    </w:p>
    <w:p w:rsidR="00A779B8" w:rsidP="00F50ADA">
      <w:pPr>
        <w:pStyle w:val="BodyText"/>
        <w:spacing w:after="0" w:line="240" w:lineRule="auto"/>
        <w:jc w:val="center"/>
        <w:rPr>
          <w:rFonts w:ascii="Calibri" w:hAnsi="Calibri" w:cs="Calibri"/>
          <w:b/>
          <w:szCs w:val="24"/>
        </w:rPr>
      </w:pPr>
      <w:r w:rsidRPr="003A7521">
        <w:rPr>
          <w:rFonts w:ascii="Calibri" w:hAnsi="Calibri" w:cs="Calibri"/>
          <w:b/>
          <w:szCs w:val="24"/>
        </w:rPr>
        <w:t>Procurador</w:t>
      </w:r>
      <w:r w:rsidR="008930E7">
        <w:rPr>
          <w:rFonts w:ascii="Calibri" w:hAnsi="Calibri" w:cs="Calibri"/>
          <w:b/>
          <w:szCs w:val="24"/>
        </w:rPr>
        <w:t>a - OAB/SP 319.159</w:t>
      </w:r>
    </w:p>
    <w:p w:rsidR="00A779B8" w:rsidRPr="00743FE1" w:rsidP="00F50ADA">
      <w:pPr>
        <w:pStyle w:val="BodyText"/>
        <w:spacing w:after="0" w:line="240" w:lineRule="auto"/>
        <w:jc w:val="center"/>
      </w:pPr>
      <w:r>
        <w:rPr>
          <w:rFonts w:ascii="Calibri" w:hAnsi="Calibri" w:cs="Calibri"/>
          <w:szCs w:val="24"/>
        </w:rPr>
        <w:t>Assinatura Eletrônica</w:t>
      </w:r>
    </w:p>
    <w:sectPr w:rsidSect="00A779B8">
      <w:headerReference w:type="default" r:id="rId4"/>
      <w:footerReference w:type="default" r:id="rId5"/>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A56E27" w:rsidP="00E86B5F">
            <w:pPr>
              <w:pStyle w:val="Footer"/>
              <w:jc w:val="right"/>
              <w:rPr>
                <w:sz w:val="18"/>
                <w:lang w:val="pt-PT"/>
              </w:rPr>
            </w:pPr>
          </w:p>
          <w:p w:rsidR="00A56E27" w:rsidP="00E86B5F">
            <w:pPr>
              <w:pStyle w:val="Footer"/>
              <w:ind w:right="-313"/>
              <w:jc w:val="center"/>
              <w:rPr>
                <w:sz w:val="18"/>
                <w:lang w:val="pt-PT"/>
              </w:rPr>
            </w:pPr>
            <w:r>
              <w:rPr>
                <w:sz w:val="18"/>
                <w:lang w:val="pt-PT"/>
              </w:rPr>
              <w:t>________________________________________________________________________________________</w:t>
            </w:r>
          </w:p>
          <w:p w:rsidR="00A56E27" w:rsidP="00E86B5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A56E27"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A56E27"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6663C7">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6663C7">
              <w:rPr>
                <w:b/>
                <w:bCs/>
                <w:noProof/>
                <w:sz w:val="18"/>
                <w:szCs w:val="18"/>
              </w:rPr>
              <w:t>6</w:t>
            </w:r>
            <w:r w:rsidRPr="00F53BEF">
              <w:rPr>
                <w:b/>
                <w:bCs/>
                <w:sz w:val="18"/>
                <w:szCs w:val="18"/>
              </w:rPr>
              <w:fldChar w:fldCharType="end"/>
            </w:r>
          </w:p>
        </w:sdtContent>
      </w:sdt>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56E27" w:rsidP="00E86B5F">
    <w:pPr>
      <w:pStyle w:val="Header"/>
      <w:jc w:val="center"/>
      <w:rPr>
        <w:b/>
        <w:sz w:val="26"/>
        <w:lang w:val="pt-PT"/>
      </w:rPr>
    </w:pPr>
  </w:p>
  <w:p w:rsidR="00A56E27"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56E27" w:rsidP="00E86B5F">
                          <w:r>
                            <w:rPr>
                              <w:noProof/>
                            </w:rPr>
                            <w:drawing>
                              <wp:inline distT="0" distB="0" distL="0" distR="0">
                                <wp:extent cx="876300" cy="850900"/>
                                <wp:effectExtent l="19050" t="0" r="0" b="0"/>
                                <wp:docPr id="1110765390"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63050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12393540"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A56E27"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45567"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12393044" r:id="rId4"/>
                    </w:object>
                  </w:p>
                </w:txbxContent>
              </v:textbox>
              <w10:wrap type="square"/>
            </v:shape>
          </w:pict>
        </mc:Fallback>
      </mc:AlternateContent>
    </w:r>
  </w:p>
  <w:p w:rsidR="00A56E27" w:rsidP="00E86B5F">
    <w:pPr>
      <w:pStyle w:val="Header"/>
      <w:jc w:val="center"/>
      <w:rPr>
        <w:b/>
        <w:sz w:val="28"/>
        <w:lang w:val="pt-PT"/>
      </w:rPr>
    </w:pPr>
    <w:r>
      <w:rPr>
        <w:b/>
        <w:sz w:val="28"/>
        <w:lang w:val="pt-PT"/>
      </w:rPr>
      <w:t>CÂMARA MUNICIPAL DE VALINHOS</w:t>
    </w:r>
  </w:p>
  <w:p w:rsidR="00A56E27"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6682F"/>
    <w:rsid w:val="00076B1A"/>
    <w:rsid w:val="00081211"/>
    <w:rsid w:val="000A24B5"/>
    <w:rsid w:val="000E3254"/>
    <w:rsid w:val="000F0E48"/>
    <w:rsid w:val="00121CF5"/>
    <w:rsid w:val="001604ED"/>
    <w:rsid w:val="00195C81"/>
    <w:rsid w:val="001B125C"/>
    <w:rsid w:val="00230814"/>
    <w:rsid w:val="00336C41"/>
    <w:rsid w:val="003A7521"/>
    <w:rsid w:val="0055682C"/>
    <w:rsid w:val="005723D1"/>
    <w:rsid w:val="005945EE"/>
    <w:rsid w:val="00623196"/>
    <w:rsid w:val="00646BC4"/>
    <w:rsid w:val="00654E32"/>
    <w:rsid w:val="006663C7"/>
    <w:rsid w:val="00724E61"/>
    <w:rsid w:val="00743FE1"/>
    <w:rsid w:val="007A7FE6"/>
    <w:rsid w:val="008930E7"/>
    <w:rsid w:val="008C1CAB"/>
    <w:rsid w:val="008D5E31"/>
    <w:rsid w:val="00A01417"/>
    <w:rsid w:val="00A56E27"/>
    <w:rsid w:val="00A779B8"/>
    <w:rsid w:val="00A87ED2"/>
    <w:rsid w:val="00AC4A6F"/>
    <w:rsid w:val="00AD055D"/>
    <w:rsid w:val="00AD09BD"/>
    <w:rsid w:val="00C669D7"/>
    <w:rsid w:val="00C91492"/>
    <w:rsid w:val="00C928E6"/>
    <w:rsid w:val="00CE4CA6"/>
    <w:rsid w:val="00D26629"/>
    <w:rsid w:val="00D6369B"/>
    <w:rsid w:val="00D75ECD"/>
    <w:rsid w:val="00DA5745"/>
    <w:rsid w:val="00E86B5F"/>
    <w:rsid w:val="00E91D9C"/>
    <w:rsid w:val="00EB73E9"/>
    <w:rsid w:val="00F32480"/>
    <w:rsid w:val="00F50ADA"/>
    <w:rsid w:val="00F53BEF"/>
    <w:rsid w:val="00F83AF5"/>
    <w:rsid w:val="00FC140B"/>
    <w:rsid w:val="00FC62DB"/>
    <w:rsid w:val="00FF69A7"/>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ListParagraph">
    <w:name w:val="List Paragraph"/>
    <w:basedOn w:val="Normal"/>
    <w:uiPriority w:val="34"/>
    <w:qFormat/>
    <w:rsid w:val="00893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6</Pages>
  <Words>1292</Words>
  <Characters>6981</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23</cp:revision>
  <dcterms:created xsi:type="dcterms:W3CDTF">2022-04-25T14:06:00Z</dcterms:created>
  <dcterms:modified xsi:type="dcterms:W3CDTF">2022-04-25T15:06:00Z</dcterms:modified>
</cp:coreProperties>
</file>