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6A4063" w:rsidP="00154D30" w14:paraId="19B0C7C0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154D30" w14:paraId="2DEBC880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80458F" w:rsidRPr="006A4063" w:rsidP="00154D30" w14:paraId="0AC4042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154D30" w14:paraId="1CE13C4B" w14:textId="246345E4">
      <w:pPr>
        <w:widowControl w:val="0"/>
        <w:spacing w:line="360" w:lineRule="auto"/>
        <w:ind w:firstLine="1134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A66C69">
        <w:rPr>
          <w:rFonts w:cs="Arial"/>
          <w:bCs/>
          <w:szCs w:val="24"/>
        </w:rPr>
        <w:t xml:space="preserve"> </w:t>
      </w:r>
      <w:r w:rsidR="00A66C69">
        <w:rPr>
          <w:rFonts w:cs="Arial"/>
          <w:b/>
          <w:szCs w:val="24"/>
        </w:rPr>
        <w:t>ALÉCIO CAU</w:t>
      </w:r>
      <w:r w:rsidRPr="006A4063">
        <w:rPr>
          <w:rFonts w:cs="Arial"/>
          <w:bCs/>
          <w:szCs w:val="24"/>
        </w:rPr>
        <w:t xml:space="preserve">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Regulamenta o art. 56 da Lei Federal n. 5.991 de 17 de dezembro de 1973 e estabelece o funcionamento ininterrupto de farmácia municipal em Valinhos.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154D30" w14:paraId="07D2CC1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154D30" w14:paraId="3CEC1C5E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A66C69" w:rsidP="00A66C69" w14:paraId="15894F2F" w14:textId="714F5717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O Vereador </w:t>
      </w:r>
      <w:r w:rsidRPr="004A6FBA">
        <w:rPr>
          <w:b/>
          <w:szCs w:val="24"/>
        </w:rPr>
        <w:t>ALÉCIO CAU</w:t>
      </w:r>
      <w:r>
        <w:rPr>
          <w:szCs w:val="24"/>
        </w:rPr>
        <w:t xml:space="preserve"> do (PDT) encaminha para leitura e posterior encaminhamento para as comissões pertinentes o presente Projeto de Lei que regulamenta o art. 56 da Lei Federal n.</w:t>
      </w:r>
      <w:r w:rsidRPr="000458C4">
        <w:rPr>
          <w:szCs w:val="24"/>
        </w:rPr>
        <w:t xml:space="preserve"> 5.991 de 17 de </w:t>
      </w:r>
      <w:r>
        <w:rPr>
          <w:szCs w:val="24"/>
        </w:rPr>
        <w:t>d</w:t>
      </w:r>
      <w:r w:rsidRPr="000458C4">
        <w:rPr>
          <w:szCs w:val="24"/>
        </w:rPr>
        <w:t>ezembro de 1973</w:t>
      </w:r>
      <w:r>
        <w:rPr>
          <w:szCs w:val="24"/>
        </w:rPr>
        <w:t xml:space="preserve">, que dispõe sobre </w:t>
      </w:r>
      <w:r w:rsidRPr="00D466A6">
        <w:rPr>
          <w:szCs w:val="24"/>
        </w:rPr>
        <w:t>o Controle Sanitário do Comércio de Drogas, Medicamentos, Insumos Farmacêuticos e Correlatos, e dá outras Providências</w:t>
      </w:r>
      <w:r>
        <w:rPr>
          <w:szCs w:val="24"/>
        </w:rPr>
        <w:t>.</w:t>
      </w:r>
    </w:p>
    <w:p w:rsidR="00A66C69" w:rsidP="00A66C69" w14:paraId="0BCCFFED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4FAF6A82" w14:textId="5282D03C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 princípio, assinalo que a referida Lei Federal foi abordada no âmbito municipal quando da promulgação da Lei n. 4.376/2008, que estabelece o funcionamento de estabelecimentos farmacêuticos e dá outras providências, posteriormente alterada pela Lei 4.502/2009. </w:t>
      </w:r>
    </w:p>
    <w:p w:rsidR="00A66C69" w:rsidP="00A66C69" w14:paraId="7F7B5CEB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1795CC0E" w14:textId="3AA89C62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Ocorre que nesse caso de regulamentação a abordagem versou somente sobre estabelecimentos particulares, o que atende ao interesse público da população que possui meios de adquirir os medicamentos.</w:t>
      </w:r>
    </w:p>
    <w:p w:rsidR="00A66C69" w:rsidP="00A66C69" w14:paraId="71841C90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68C1EBDB" w14:textId="77777777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Visando corrigir grave distorção na dispensação de medicamentos padronizados e democratizar seu acesso em horários compatíveis com as necessidades da população, o presente projeto regulamenta a aplicação do art. 56 do referido diploma federal em relação ao Poder Público.</w:t>
      </w:r>
    </w:p>
    <w:p w:rsidR="00A66C69" w:rsidP="00A66C69" w14:paraId="7282284B" w14:textId="7448ACA8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Assim, pelo que dispõe o art. 2º da Lei n. 5.991/1973, estão sujeitos à observância das regras “</w:t>
      </w:r>
      <w:r w:rsidRPr="00AF56DE">
        <w:rPr>
          <w:i/>
          <w:iCs/>
          <w:szCs w:val="24"/>
        </w:rPr>
        <w:t xml:space="preserve">as unidades congêneres que integram o serviço público civil </w:t>
      </w:r>
      <w:r w:rsidRPr="00AF56DE">
        <w:rPr>
          <w:i/>
          <w:iCs/>
          <w:szCs w:val="24"/>
        </w:rPr>
        <w:t>e militar da administração direta e indireta, da União, dos Estados, do Distrito Federal, dos Territórios e dos Municípios e demais entidades paraestatais, no que concerne aos conceitos, definições e responsabilidade técnica</w:t>
      </w:r>
      <w:r>
        <w:rPr>
          <w:szCs w:val="24"/>
        </w:rPr>
        <w:t>”.</w:t>
      </w:r>
    </w:p>
    <w:p w:rsidR="00A66C69" w:rsidP="00A66C69" w14:paraId="23149C0C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0650A921" w14:textId="68B34B4E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Vejamos o disposto no art. 56:</w:t>
      </w:r>
    </w:p>
    <w:p w:rsidR="00A66C69" w:rsidP="00A66C69" w14:paraId="415CCC19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5F750F68" w14:textId="200EAFFA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Art. 56 </w:t>
      </w:r>
      <w:r w:rsidRPr="008020F9">
        <w:rPr>
          <w:szCs w:val="24"/>
        </w:rPr>
        <w:t>As farmácias e drogarias são obrigadas a plantão, pelo sistema de rodízio, para atendimento ininterrupto à comunidade, consoante normas a serem baixadas pelos Estados, Distrito Federal, Territórios e Municípios.</w:t>
      </w:r>
    </w:p>
    <w:p w:rsidR="00A66C69" w:rsidP="00A66C69" w14:paraId="6E81DBF0" w14:textId="77777777">
      <w:pPr>
        <w:spacing w:line="360" w:lineRule="auto"/>
        <w:ind w:left="1134"/>
        <w:jc w:val="both"/>
        <w:rPr>
          <w:szCs w:val="24"/>
        </w:rPr>
      </w:pPr>
    </w:p>
    <w:p w:rsidR="00A66C69" w:rsidP="00A66C69" w14:paraId="28DD005E" w14:textId="06DF8964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Não é mistério que se aplica às farmácias de franquia municipal, que, antes da iniciativa privada, são as responsáveis por atender o interesse público.</w:t>
      </w:r>
    </w:p>
    <w:p w:rsidR="00A66C69" w:rsidP="00A66C69" w14:paraId="48A676E7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4163EC17" w14:textId="7A70BF7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Nesse sentido, não é difícil de acontecer casos em que medicamentos de uso urgente, como antibióticos, sejam receitados em uma sexta-feira após as 17h, quando as farmácias municipais estão fechadas. Essa é uma hipótese que só resta à população carente aguardar que os sintomas se agravem ou se socorram em outros municípios, o que definitivamente não é compatível com a humanização e universalidade do SUS.</w:t>
      </w:r>
    </w:p>
    <w:p w:rsidR="00A66C69" w:rsidP="00A66C69" w14:paraId="526E03FB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3165154F" w14:textId="619BA699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O presente projeto de lei vem ao encontro da necessidade da população e, especialmente, de um direito de atendimento digno compatível com a vultuosa carga tributária suportada para manutenção dos serviços públicos.</w:t>
      </w:r>
    </w:p>
    <w:p w:rsidR="00A66C69" w:rsidP="00A66C69" w14:paraId="2B53236F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0DEF4135" w14:textId="77777777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Assim, justifico a Indicação de Minuta de Projeto de Lei, rogando ao Poder Executivo que o encaminhe para votação nesta Casa de Leis.</w:t>
      </w:r>
    </w:p>
    <w:p w:rsidR="0080458F" w:rsidRPr="006A4063" w:rsidP="00A66C69" w14:paraId="16AE1C19" w14:textId="15F48AA5">
      <w:pPr>
        <w:widowControl w:val="0"/>
        <w:spacing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A04FF1" w:rsidRPr="006A4063" w:rsidP="00154D30" w14:paraId="3078A5FA" w14:textId="77777777">
      <w:pPr>
        <w:spacing w:line="360" w:lineRule="auto"/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14 de abril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154D30" w14:paraId="1F8438D2" w14:textId="77777777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80458F" w:rsidRPr="006A4063" w:rsidP="00A66C69" w14:paraId="2EC81078" w14:textId="468BA217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ALÉCIO CAU</w:t>
      </w:r>
    </w:p>
    <w:p w:rsidR="00534972" w:rsidRPr="006A4063" w:rsidP="0077671C" w14:paraId="4C2C93F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 w14:paraId="6535A321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55C00380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Regulamenta o art. 56 da Lei Federal n. 5.991 de 17 de dezembro de 1973 e estabelece o funcionamento ininterrupto de farmácia municipal em Valinhos.</w:t>
      </w:r>
    </w:p>
    <w:p w:rsidR="0077671C" w:rsidRPr="006A4063" w:rsidP="0077671C" w14:paraId="42532F86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66C69" w:rsidP="00A66C69" w14:paraId="61D093E2" w14:textId="6E504EE6">
      <w:pPr>
        <w:spacing w:line="360" w:lineRule="auto"/>
        <w:ind w:firstLine="1134"/>
        <w:jc w:val="both"/>
        <w:rPr>
          <w:szCs w:val="24"/>
        </w:rPr>
      </w:pPr>
      <w:r>
        <w:rPr>
          <w:b/>
          <w:szCs w:val="24"/>
        </w:rPr>
        <w:t>A</w:t>
      </w:r>
      <w:r>
        <w:rPr>
          <w:szCs w:val="24"/>
        </w:rPr>
        <w:t xml:space="preserve"> Prefeita Municipal de Valinhos, no uso de atribuições que lhe são conferidas pela Lei Orgânica do Município, art. 80, III, FAZ SABER que a Câmara Municipal aprovou e ele sanciona e promulga a seguinte Lei:</w:t>
      </w:r>
    </w:p>
    <w:p w:rsidR="00A66C69" w:rsidP="00A66C69" w14:paraId="19EFCA3E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19C6398B" w14:textId="1F2E5A4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Art. 1º Para garantir aos munícipes acesso aos medicamentos padronizados pela </w:t>
      </w:r>
      <w:r w:rsidRPr="007B567A">
        <w:rPr>
          <w:szCs w:val="24"/>
        </w:rPr>
        <w:t>Relação Municipal de Medicamentos Essenciais (REMUME)</w:t>
      </w:r>
      <w:r>
        <w:rPr>
          <w:szCs w:val="24"/>
        </w:rPr>
        <w:t>, nos termos do art. 56 da Lei Federal n.</w:t>
      </w:r>
      <w:r w:rsidRPr="000458C4">
        <w:rPr>
          <w:szCs w:val="24"/>
        </w:rPr>
        <w:t xml:space="preserve"> 5.991 de 17 de </w:t>
      </w:r>
      <w:r>
        <w:rPr>
          <w:szCs w:val="24"/>
        </w:rPr>
        <w:t>d</w:t>
      </w:r>
      <w:r w:rsidRPr="000458C4">
        <w:rPr>
          <w:szCs w:val="24"/>
        </w:rPr>
        <w:t>ezembro de 1973</w:t>
      </w:r>
      <w:r>
        <w:rPr>
          <w:szCs w:val="24"/>
        </w:rPr>
        <w:t>, que d</w:t>
      </w:r>
      <w:r w:rsidRPr="000458C4">
        <w:rPr>
          <w:szCs w:val="24"/>
        </w:rPr>
        <w:t>ispõe sobre o Controle Sanitário do Comércio de Drogas, Medicamentos, Insumos Farmacêuticos e Correlatos</w:t>
      </w:r>
      <w:r>
        <w:rPr>
          <w:szCs w:val="24"/>
        </w:rPr>
        <w:t>, a Secretaria Municipal da Saúde manterá ao menos uma unidade de dispensação de medicamentos em funcionamento de forma ininterrupta.</w:t>
      </w:r>
    </w:p>
    <w:p w:rsidR="00A66C69" w:rsidP="00A66C69" w14:paraId="504B3B80" w14:textId="77777777">
      <w:pPr>
        <w:spacing w:line="360" w:lineRule="auto"/>
        <w:ind w:firstLine="1134"/>
        <w:jc w:val="both"/>
        <w:rPr>
          <w:szCs w:val="24"/>
        </w:rPr>
      </w:pPr>
    </w:p>
    <w:p w:rsidR="00A66C69" w:rsidP="00A66C69" w14:paraId="526D4C30" w14:textId="77777777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Parágrafo único. O Poder Público providenciará a devida publicidade nas unidades de saúde do município informando o endereço da farmácia municipal 24h.</w:t>
      </w:r>
    </w:p>
    <w:p w:rsidR="00A66C69" w:rsidP="00A66C69" w14:paraId="649A52C6" w14:textId="71367D2E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 </w:t>
      </w:r>
    </w:p>
    <w:p w:rsidR="00A66C69" w:rsidP="00A66C69" w14:paraId="0F666880" w14:textId="4610BEA7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Art. 2º Fica o Poder Executivo autorizado a firmar parcerias ou convênios com drogarias ou farmácias privadas de funcionamento 24h para dispensação de medicamentos padronizados pela REMUNE.</w:t>
      </w:r>
    </w:p>
    <w:p w:rsidR="00A66C69" w:rsidP="00A66C69" w14:paraId="0B6EF81E" w14:textId="77777777">
      <w:pPr>
        <w:spacing w:line="360" w:lineRule="auto"/>
        <w:ind w:firstLine="1134"/>
        <w:jc w:val="both"/>
        <w:rPr>
          <w:szCs w:val="24"/>
        </w:rPr>
      </w:pPr>
    </w:p>
    <w:p w:rsidR="00B82032" w:rsidRPr="002A5D0D" w:rsidP="00A66C69" w14:paraId="25A3C930" w14:textId="35E7F36A">
      <w:pPr>
        <w:tabs>
          <w:tab w:val="left" w:pos="2835"/>
        </w:tabs>
        <w:spacing w:line="360" w:lineRule="auto"/>
        <w:ind w:firstLine="1134"/>
        <w:jc w:val="both"/>
        <w:rPr>
          <w:rFonts w:cs="Arial"/>
          <w:b/>
          <w:szCs w:val="24"/>
        </w:rPr>
      </w:pPr>
      <w:r>
        <w:rPr>
          <w:szCs w:val="24"/>
        </w:rPr>
        <w:t>Art. 3º Esta Lei entra</w:t>
      </w:r>
      <w:r>
        <w:rPr>
          <w:szCs w:val="24"/>
        </w:rPr>
        <w:t xml:space="preserve"> em vigor</w:t>
      </w:r>
      <w:r>
        <w:rPr>
          <w:szCs w:val="24"/>
        </w:rPr>
        <w:t xml:space="preserve"> </w:t>
      </w:r>
      <w:r>
        <w:rPr>
          <w:szCs w:val="24"/>
        </w:rPr>
        <w:t>90 (noventa) dias</w:t>
      </w:r>
      <w:r>
        <w:rPr>
          <w:szCs w:val="24"/>
        </w:rPr>
        <w:t xml:space="preserve"> </w:t>
      </w:r>
      <w:r>
        <w:rPr>
          <w:szCs w:val="24"/>
        </w:rPr>
        <w:t>após</w:t>
      </w:r>
      <w:r>
        <w:rPr>
          <w:szCs w:val="24"/>
        </w:rPr>
        <w:t xml:space="preserve"> sua publicação, revogadas as disposições em contrário</w:t>
      </w:r>
      <w:r>
        <w:rPr>
          <w:szCs w:val="24"/>
        </w:rPr>
        <w:t>.</w:t>
      </w:r>
    </w:p>
    <w:p w:rsidR="00B82032" w:rsidP="00B82032" w14:paraId="176A03B1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B82032" w:rsidP="00B82032" w14:paraId="591C5B31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  <w:r w:rsidRPr="002A5D0D">
        <w:rPr>
          <w:rFonts w:cs="Arial"/>
          <w:szCs w:val="24"/>
        </w:rPr>
        <w:t>Prefe</w:t>
      </w:r>
      <w:r>
        <w:rPr>
          <w:rFonts w:cs="Arial"/>
          <w:szCs w:val="24"/>
        </w:rPr>
        <w:t>itura do Município de Valinhos,</w:t>
      </w:r>
    </w:p>
    <w:p w:rsidR="00B82032" w:rsidRPr="002A5D0D" w:rsidP="00B82032" w14:paraId="2FE341FD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aos</w:t>
      </w:r>
    </w:p>
    <w:p w:rsidR="00B82032" w:rsidRPr="002A5D0D" w:rsidP="00B82032" w14:paraId="3C6762EC" w14:textId="77777777">
      <w:pPr>
        <w:tabs>
          <w:tab w:val="left" w:pos="2835"/>
        </w:tabs>
        <w:spacing w:line="360" w:lineRule="auto"/>
        <w:jc w:val="both"/>
        <w:rPr>
          <w:rFonts w:cs="Arial"/>
          <w:b/>
          <w:szCs w:val="24"/>
        </w:rPr>
      </w:pPr>
    </w:p>
    <w:p w:rsidR="00B82032" w:rsidRPr="002A5D0D" w:rsidP="00B82032" w14:paraId="654AD3AB" w14:textId="77777777">
      <w:pPr>
        <w:tabs>
          <w:tab w:val="left" w:pos="2835"/>
        </w:tabs>
        <w:spacing w:line="360" w:lineRule="auto"/>
        <w:jc w:val="center"/>
        <w:rPr>
          <w:rFonts w:cs="Arial"/>
          <w:b/>
          <w:szCs w:val="24"/>
        </w:rPr>
      </w:pPr>
      <w:r w:rsidRPr="002A5D0D">
        <w:rPr>
          <w:rFonts w:cs="Arial"/>
          <w:b/>
          <w:szCs w:val="24"/>
        </w:rPr>
        <w:t>LUCIMARA GODOY VILAS BOAS</w:t>
      </w:r>
    </w:p>
    <w:p w:rsidR="0077671C" w:rsidRPr="006A4063" w:rsidP="00B82032" w14:paraId="58FD1C5E" w14:textId="02A74275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2A5D0D">
        <w:rPr>
          <w:rFonts w:cs="Arial"/>
          <w:b/>
          <w:szCs w:val="24"/>
        </w:rPr>
        <w:t>Prefeita Municipal</w:t>
      </w:r>
    </w:p>
    <w:sectPr w:rsidSect="001568C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274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4E300015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22800CA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2572598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2132B40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313069C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2955A6F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4F7540F4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4162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189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2088/2022</w:t>
    </w:r>
  </w:p>
  <w:p w:rsidR="00FC47D9" w:rsidRPr="00FC47D9" w:rsidP="00FC47D9" w14:paraId="6049BAE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0793860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4189CC8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E77446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208837E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6A21CA1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3131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4187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4431389C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2088/2022</w:t>
    </w:r>
  </w:p>
  <w:p w:rsidR="009B0EE4" w:rsidRPr="00FC47D9" w:rsidP="009B0EE4" w14:paraId="2F5596B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0183760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B53769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3BF9FB8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032C8D1" w14:textId="77777777">
    <w:pPr>
      <w:pStyle w:val="Header"/>
      <w:ind w:left="-142"/>
    </w:pPr>
  </w:p>
  <w:p w:rsidR="009B0EE4" w:rsidP="009B0EE4" w14:paraId="374EAB3B" w14:textId="77777777">
    <w:pPr>
      <w:pStyle w:val="Header"/>
    </w:pPr>
  </w:p>
  <w:p w:rsidR="009B0EE4" w:rsidP="009B0EE4" w14:paraId="600BBDD7" w14:textId="77777777">
    <w:pPr>
      <w:pStyle w:val="Header"/>
    </w:pPr>
  </w:p>
  <w:p w:rsidR="009B0EE4" w:rsidRPr="0077671C" w:rsidP="009B0EE4" w14:paraId="3D7ECD4D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83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 w14:paraId="4496E7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9396ED"/>
    <w:multiLevelType w:val="singleLevel"/>
    <w:tmpl w:val="0A9396ED"/>
    <w:lvl w:ilvl="0">
      <w:start w:val="1"/>
      <w:numFmt w:val="lowerLetter"/>
      <w:lvlText w:val="%1)"/>
      <w:lvlJc w:val="left"/>
    </w:lvl>
  </w:abstractNum>
  <w:abstractNum w:abstractNumId="1">
    <w:nsid w:val="2FE3C916"/>
    <w:multiLevelType w:val="singleLevel"/>
    <w:tmpl w:val="2FE3C916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4E50"/>
    <w:rsid w:val="000124B0"/>
    <w:rsid w:val="00023210"/>
    <w:rsid w:val="0002388A"/>
    <w:rsid w:val="00030D7D"/>
    <w:rsid w:val="00040230"/>
    <w:rsid w:val="000458C4"/>
    <w:rsid w:val="00063F44"/>
    <w:rsid w:val="000D42EF"/>
    <w:rsid w:val="000F7939"/>
    <w:rsid w:val="00103936"/>
    <w:rsid w:val="00154D30"/>
    <w:rsid w:val="00154E6D"/>
    <w:rsid w:val="001568C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5D0D"/>
    <w:rsid w:val="002B58CC"/>
    <w:rsid w:val="002F0A6A"/>
    <w:rsid w:val="00375D3F"/>
    <w:rsid w:val="0038288C"/>
    <w:rsid w:val="00391370"/>
    <w:rsid w:val="003B25A7"/>
    <w:rsid w:val="003F78E3"/>
    <w:rsid w:val="00404FFF"/>
    <w:rsid w:val="00432072"/>
    <w:rsid w:val="004333B6"/>
    <w:rsid w:val="004420DB"/>
    <w:rsid w:val="00450741"/>
    <w:rsid w:val="00455FF4"/>
    <w:rsid w:val="00486790"/>
    <w:rsid w:val="00496A3E"/>
    <w:rsid w:val="004A6FBA"/>
    <w:rsid w:val="004E3236"/>
    <w:rsid w:val="004E493C"/>
    <w:rsid w:val="00515C6C"/>
    <w:rsid w:val="00534972"/>
    <w:rsid w:val="00540457"/>
    <w:rsid w:val="005408CC"/>
    <w:rsid w:val="00557487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B567A"/>
    <w:rsid w:val="007E468E"/>
    <w:rsid w:val="007F0968"/>
    <w:rsid w:val="008020F9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7C8B"/>
    <w:rsid w:val="00912224"/>
    <w:rsid w:val="0092098C"/>
    <w:rsid w:val="009426A2"/>
    <w:rsid w:val="00946FCF"/>
    <w:rsid w:val="009643C3"/>
    <w:rsid w:val="00983E17"/>
    <w:rsid w:val="009B0EE4"/>
    <w:rsid w:val="009C1E5B"/>
    <w:rsid w:val="00A04FF1"/>
    <w:rsid w:val="00A2090C"/>
    <w:rsid w:val="00A66C69"/>
    <w:rsid w:val="00A762CA"/>
    <w:rsid w:val="00AD50A4"/>
    <w:rsid w:val="00AE69C4"/>
    <w:rsid w:val="00AF56DE"/>
    <w:rsid w:val="00B15A41"/>
    <w:rsid w:val="00B61283"/>
    <w:rsid w:val="00B75386"/>
    <w:rsid w:val="00B82032"/>
    <w:rsid w:val="00BA2827"/>
    <w:rsid w:val="00C121B6"/>
    <w:rsid w:val="00C1360D"/>
    <w:rsid w:val="00C57774"/>
    <w:rsid w:val="00C70E55"/>
    <w:rsid w:val="00C71006"/>
    <w:rsid w:val="00C97C54"/>
    <w:rsid w:val="00CB5727"/>
    <w:rsid w:val="00CD5241"/>
    <w:rsid w:val="00CE5346"/>
    <w:rsid w:val="00CF3EAC"/>
    <w:rsid w:val="00D02B99"/>
    <w:rsid w:val="00D466A6"/>
    <w:rsid w:val="00D5240E"/>
    <w:rsid w:val="00D75C75"/>
    <w:rsid w:val="00D86F54"/>
    <w:rsid w:val="00DB240A"/>
    <w:rsid w:val="00E205BF"/>
    <w:rsid w:val="00E20664"/>
    <w:rsid w:val="00E26AEA"/>
    <w:rsid w:val="00E37567"/>
    <w:rsid w:val="00E9372C"/>
    <w:rsid w:val="00F058AD"/>
    <w:rsid w:val="00F16789"/>
    <w:rsid w:val="00F31585"/>
    <w:rsid w:val="00F3735D"/>
    <w:rsid w:val="00F40A1A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E63370-CBC4-4E28-A311-CE8962F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82032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Filipe</cp:lastModifiedBy>
  <cp:revision>2</cp:revision>
  <cp:lastPrinted>2022-04-14T18:02:04Z</cp:lastPrinted>
  <dcterms:created xsi:type="dcterms:W3CDTF">2022-04-14T18:00:00Z</dcterms:created>
  <dcterms:modified xsi:type="dcterms:W3CDTF">2022-04-14T18:00:00Z</dcterms:modified>
</cp:coreProperties>
</file>