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DA5745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3A7521">
        <w:rPr>
          <w:rFonts w:ascii="Calibri" w:hAnsi="Calibri" w:cs="Calibri"/>
          <w:b/>
          <w:color w:val="auto"/>
        </w:rPr>
        <w:t>Parecer Jurídico nº</w:t>
      </w:r>
      <w:r>
        <w:rPr>
          <w:rFonts w:ascii="Calibri" w:hAnsi="Calibri" w:cs="Calibri"/>
          <w:b/>
          <w:color w:val="auto"/>
        </w:rPr>
        <w:t xml:space="preserve"> </w:t>
      </w:r>
      <w:r w:rsidR="00305026">
        <w:rPr>
          <w:rFonts w:ascii="Calibri" w:hAnsi="Calibri" w:cs="Calibri"/>
          <w:b/>
          <w:color w:val="auto"/>
        </w:rPr>
        <w:t>125</w:t>
      </w:r>
      <w:r w:rsidRPr="003A7521">
        <w:rPr>
          <w:rFonts w:ascii="Calibri" w:hAnsi="Calibri" w:cs="Calibri"/>
          <w:b/>
          <w:color w:val="auto"/>
        </w:rPr>
        <w:t>/202</w:t>
      </w:r>
      <w:r>
        <w:rPr>
          <w:rFonts w:ascii="Calibri" w:hAnsi="Calibri" w:cs="Calibri"/>
          <w:b/>
          <w:color w:val="auto"/>
        </w:rPr>
        <w:t>2.</w:t>
      </w:r>
    </w:p>
    <w:p w:rsidR="00305026" w:rsidRPr="00DA5745" w:rsidP="00305026">
      <w:pPr>
        <w:spacing w:after="0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Assunto</w:t>
      </w:r>
      <w:r w:rsidRPr="00305026">
        <w:rPr>
          <w:rFonts w:ascii="Calibri" w:hAnsi="Calibri" w:cs="Calibri"/>
          <w:bCs/>
          <w:szCs w:val="24"/>
        </w:rPr>
        <w:t xml:space="preserve">: </w:t>
      </w:r>
      <w:r w:rsidRPr="00305026">
        <w:rPr>
          <w:rFonts w:ascii="Calibri" w:hAnsi="Calibri" w:cs="Calibri"/>
          <w:b/>
          <w:bCs/>
          <w:szCs w:val="24"/>
        </w:rPr>
        <w:t>Emenda 01 ao Projeto de Lei nº 0</w:t>
      </w:r>
      <w:r w:rsidRPr="00305026">
        <w:rPr>
          <w:rFonts w:ascii="Calibri" w:hAnsi="Calibri" w:cs="Calibri"/>
          <w:b/>
          <w:bCs/>
          <w:szCs w:val="24"/>
        </w:rPr>
        <w:t>7</w:t>
      </w:r>
      <w:r w:rsidRPr="00305026">
        <w:rPr>
          <w:rFonts w:ascii="Calibri" w:hAnsi="Calibri" w:cs="Calibri"/>
          <w:b/>
          <w:bCs/>
          <w:szCs w:val="24"/>
        </w:rPr>
        <w:t>/2022</w:t>
      </w:r>
      <w:r w:rsidRPr="00305026">
        <w:rPr>
          <w:rFonts w:ascii="Calibri" w:hAnsi="Calibri" w:cs="Calibri"/>
          <w:bCs/>
          <w:szCs w:val="24"/>
        </w:rPr>
        <w:t xml:space="preserve"> que</w:t>
      </w:r>
      <w:r w:rsidRPr="00305026">
        <w:rPr>
          <w:rFonts w:ascii="Calibri" w:hAnsi="Calibri" w:cs="Calibri"/>
          <w:bCs/>
          <w:szCs w:val="24"/>
        </w:rPr>
        <w:t xml:space="preserve"> “Dispõe sobre a participação, proteção e defesa dos direitos do usuário dos serviços públicos da Administração Pública Municipal, previstos na Lei Federal nº 13.460, de 26 de junho de 2017 e dá outras providências”.</w:t>
      </w:r>
      <w:r>
        <w:rPr>
          <w:rFonts w:ascii="Calibri" w:hAnsi="Calibri" w:cs="Calibri"/>
          <w:b/>
          <w:bCs/>
          <w:szCs w:val="24"/>
        </w:rPr>
        <w:t xml:space="preserve"> Emenda de autoria do Executivo. </w:t>
      </w:r>
      <w:r w:rsidRPr="00305026">
        <w:rPr>
          <w:rFonts w:ascii="Calibri" w:hAnsi="Calibri" w:cs="Calibri"/>
          <w:b/>
          <w:bCs/>
          <w:szCs w:val="24"/>
        </w:rPr>
        <w:t>Ofício nº 36/2022-DTL/GP/P</w:t>
      </w:r>
    </w:p>
    <w:p w:rsidR="00A779B8" w:rsidRPr="00DA5745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05026" w:rsidP="00305026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>em epígrafe que</w:t>
      </w:r>
      <w:r w:rsidR="009D2232">
        <w:rPr>
          <w:rFonts w:asciiTheme="minorHAnsi" w:hAnsiTheme="minorHAnsi" w:cstheme="minorHAnsi"/>
        </w:rPr>
        <w:t xml:space="preserve"> pretende prom</w:t>
      </w:r>
      <w:r w:rsidR="00F33184">
        <w:rPr>
          <w:rFonts w:asciiTheme="minorHAnsi" w:hAnsiTheme="minorHAnsi" w:cstheme="minorHAnsi"/>
        </w:rPr>
        <w:t>over as seguintes alterações n</w:t>
      </w:r>
      <w:r w:rsidR="009D2232">
        <w:rPr>
          <w:rFonts w:asciiTheme="minorHAnsi" w:hAnsiTheme="minorHAnsi" w:cstheme="minorHAnsi"/>
        </w:rPr>
        <w:t>o projeto</w:t>
      </w:r>
      <w:r>
        <w:rPr>
          <w:rFonts w:asciiTheme="minorHAnsi" w:hAnsiTheme="minorHAnsi" w:cstheme="minorHAnsi"/>
        </w:rPr>
        <w:t>:</w:t>
      </w:r>
      <w:r w:rsidRPr="0006682F">
        <w:rPr>
          <w:rFonts w:asciiTheme="minorHAnsi" w:hAnsiTheme="minorHAnsi" w:cstheme="minorHAnsi"/>
        </w:rPr>
        <w:t xml:space="preserve"> </w:t>
      </w:r>
    </w:p>
    <w:p w:rsidR="009D2232" w:rsidRPr="009D2232" w:rsidP="009D2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9D2232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Dê-se ao parágrafo único do art. 2º a redação que segue: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>“Parágrafo único. O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acesso do usuário a informações será regido </w:t>
      </w:r>
      <w:bookmarkStart w:id="0" w:name="_GoBack"/>
      <w:bookmarkEnd w:id="0"/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pelos 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  <w:t>termos da Lei nº 12.527, de 18 de novembro de 2011.”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</w:r>
    </w:p>
    <w:p w:rsidR="009D2232" w:rsidRPr="009D2232" w:rsidP="009D2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9D2232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Acrescentam-se ao projeto o seguinte inciso XVI e parágrafo único ao art. 5º: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“XVI – comunicação prévia ao consumidor de que o serviço será desligado 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em 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virtude de inadimplemento, bem como do dia a partir do qual será 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  <w:t>realizado o desligamento, necessariamente durante horário comercial.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 Parágrafo único.  A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taxa  de  religação  de  serviços  não  será  devida  se </w:t>
      </w:r>
      <w:r w:rsidRPr="009D2232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houver  descumprimento  da  exigência  de  notificação  prévia  ao  consumidor 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prevista no inciso XVI do caput deste artigo, o que ensejará a aplicação de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>multa à concessionária, conforme regulamentação.”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D2232" w:rsidRPr="009D2232" w:rsidP="009D2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2232">
        <w:rPr>
          <w:rFonts w:asciiTheme="minorHAnsi" w:hAnsiTheme="minorHAnsi" w:cstheme="minorHAnsi"/>
          <w:i/>
          <w:sz w:val="22"/>
          <w:szCs w:val="22"/>
          <w:u w:val="single"/>
        </w:rPr>
        <w:t>Acrescentam-se ao projeto o seguinte inciso VII e parágrafo único ao art. 6º: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i/>
          <w:sz w:val="22"/>
          <w:szCs w:val="22"/>
        </w:rPr>
        <w:br/>
      </w:r>
      <w:r w:rsidRPr="009D2232">
        <w:rPr>
          <w:rFonts w:asciiTheme="minorHAnsi" w:hAnsiTheme="minorHAnsi" w:cstheme="minorHAnsi"/>
          <w:i/>
          <w:sz w:val="22"/>
          <w:szCs w:val="22"/>
        </w:rPr>
        <w:t>“VII – comunicação prévia da suspensão da prestação de serviço.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i/>
          <w:sz w:val="22"/>
          <w:szCs w:val="22"/>
        </w:rPr>
        <w:t xml:space="preserve">Parágrafo único. É vedada a suspensão da prestação de serviço em virtude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de inadimplemento por parte do usuário que se inicie na sexta-feira, no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sábado ou no domingo, bem como em feriado ou no dia anterior a </w:t>
      </w:r>
      <w:r w:rsidRPr="009D2232">
        <w:rPr>
          <w:rFonts w:asciiTheme="minorHAnsi" w:hAnsiTheme="minorHAnsi" w:cstheme="minorHAnsi"/>
          <w:i/>
          <w:sz w:val="22"/>
          <w:szCs w:val="22"/>
        </w:rPr>
        <w:t>feriado.</w:t>
      </w:r>
      <w:r w:rsidRPr="009D2232">
        <w:rPr>
          <w:rFonts w:asciiTheme="minorHAnsi" w:hAnsiTheme="minorHAnsi" w:cstheme="minorHAnsi"/>
          <w:i/>
          <w:sz w:val="22"/>
          <w:szCs w:val="22"/>
        </w:rPr>
        <w:t>”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</w:r>
    </w:p>
    <w:p w:rsidR="009D2232" w:rsidRPr="009D2232" w:rsidP="009D2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i/>
          <w:sz w:val="22"/>
          <w:szCs w:val="22"/>
        </w:rPr>
        <w:t>Acrescentam-se ao projeto o seguinte § 7º e itens 1 - 3 ao art. 9º: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i/>
          <w:sz w:val="22"/>
          <w:szCs w:val="22"/>
        </w:rPr>
        <w:br/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“§ 7º Para fins de acesso a informações e serviços, de exercício de direitos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e obrigações ou de obtenção de benefícios perante os órgãos e as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entidades federais, estaduais, distritais e municipais ou os serviços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públicos delegados, a apresentação de documento de identificação com fé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pública 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em que conste o número de inscrição no Cadastro de Pessoas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Físicas (CPF) será suficiente para identificação do cidadão, dispensada a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>apresentação de qualquer outro documento.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1. Os cadastros, os formulários, os sistemas e outros instrumentos exigidos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>dos usuários para a prestação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 de 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serviço público deverão disponibilizar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campo para registro do número de inscrição no CPF, de preenchimento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obrigatório para cidadãos brasileiros e estrangeiros residentes no Brasil,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 xml:space="preserve">que será suficiente para sua identificação, vedada a exigência de </w:t>
      </w:r>
      <w:r w:rsidRPr="009D2232">
        <w:rPr>
          <w:rFonts w:asciiTheme="minorHAnsi" w:hAnsiTheme="minorHAnsi" w:cstheme="minorHAnsi"/>
          <w:i/>
          <w:sz w:val="22"/>
          <w:szCs w:val="22"/>
        </w:rPr>
        <w:br/>
        <w:t>apresentação de qualquer outro número para esse fim.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i/>
          <w:sz w:val="22"/>
          <w:szCs w:val="22"/>
        </w:rPr>
        <w:t>2.  O número de inscrição no CPF poderá ser declarado pelo usuário do serviço público, desde que acompanhado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9D2232">
        <w:rPr>
          <w:rFonts w:asciiTheme="minorHAnsi" w:hAnsiTheme="minorHAnsi" w:cstheme="minorHAnsi"/>
          <w:i/>
          <w:sz w:val="22"/>
          <w:szCs w:val="22"/>
        </w:rPr>
        <w:t>de  documento  de  identificação</w:t>
      </w:r>
      <w:r w:rsidRPr="009D22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232">
        <w:rPr>
          <w:rFonts w:asciiTheme="minorHAnsi" w:hAnsiTheme="minorHAnsi" w:cstheme="minorHAnsi"/>
          <w:i/>
          <w:sz w:val="22"/>
          <w:szCs w:val="22"/>
        </w:rPr>
        <w:t>com fé pública, nos termos da lei.</w:t>
      </w:r>
    </w:p>
    <w:p w:rsidR="00305026" w:rsidRPr="009D2232" w:rsidP="009D2232">
      <w:pPr>
        <w:pStyle w:val="ListParagraph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D2232">
        <w:rPr>
          <w:rFonts w:asciiTheme="minorHAnsi" w:hAnsiTheme="minorHAnsi" w:cstheme="minorHAnsi"/>
          <w:sz w:val="22"/>
          <w:szCs w:val="22"/>
        </w:rPr>
        <w:br/>
        <w:t xml:space="preserve">3.  </w:t>
      </w:r>
      <w:r w:rsidRPr="009D2232">
        <w:rPr>
          <w:rFonts w:asciiTheme="minorHAnsi" w:hAnsiTheme="minorHAnsi" w:cstheme="minorHAnsi"/>
          <w:sz w:val="22"/>
          <w:szCs w:val="22"/>
        </w:rPr>
        <w:t xml:space="preserve">A Administração Pública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D2232">
        <w:rPr>
          <w:rFonts w:asciiTheme="minorHAnsi" w:hAnsiTheme="minorHAnsi" w:cstheme="minorHAnsi"/>
          <w:sz w:val="22"/>
          <w:szCs w:val="22"/>
        </w:rPr>
        <w:t>oderá dispor sobre casos excepcionais ao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232">
        <w:rPr>
          <w:rFonts w:asciiTheme="minorHAnsi" w:hAnsiTheme="minorHAnsi" w:cstheme="minorHAnsi"/>
          <w:sz w:val="22"/>
          <w:szCs w:val="22"/>
        </w:rPr>
        <w:t>previsto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232">
        <w:rPr>
          <w:rFonts w:asciiTheme="minorHAnsi" w:hAnsiTheme="minorHAnsi" w:cstheme="minorHAnsi"/>
          <w:sz w:val="22"/>
          <w:szCs w:val="22"/>
        </w:rPr>
        <w:t>caput deste artigo.”</w:t>
      </w:r>
    </w:p>
    <w:p w:rsidR="009D2232" w:rsidRPr="009D2232" w:rsidP="009D2232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5026" w:rsidRPr="009D2232" w:rsidP="009D2232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2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Suprima-se </w:t>
      </w:r>
      <w:r w:rsidR="009D22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Pr="009D22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inciso IV do § 3º do art. 19 do Projeto, renumerando-se o </w:t>
      </w:r>
      <w:r w:rsidRPr="009D2232">
        <w:rPr>
          <w:rFonts w:asciiTheme="minorHAnsi" w:hAnsiTheme="minorHAnsi" w:cstheme="minorHAnsi"/>
          <w:sz w:val="22"/>
          <w:szCs w:val="22"/>
        </w:rPr>
        <w:br/>
      </w:r>
      <w:r w:rsidRPr="009D2232">
        <w:rPr>
          <w:rFonts w:asciiTheme="minorHAnsi" w:hAnsiTheme="minorHAnsi" w:cstheme="minorHAnsi"/>
          <w:sz w:val="22"/>
          <w:szCs w:val="22"/>
          <w:shd w:val="clear" w:color="auto" w:fill="FFFFFF"/>
        </w:rPr>
        <w:t>inciso V.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DD45D3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9D2232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9D2232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F260B9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60B9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RPr="00783082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 xml:space="preserve">atende aos dispositivos do Regimento Interno da Câmara, não havendo óbice regimental na sua tramitação e quanto à matéria concluímos pela constitucionalidade do projeto que se limita a propor </w:t>
      </w:r>
      <w:r w:rsidRPr="00783082" w:rsidR="00783082">
        <w:rPr>
          <w:rFonts w:asciiTheme="minorHAnsi" w:hAnsiTheme="minorHAnsi" w:cs="Calibri"/>
          <w:szCs w:val="24"/>
        </w:rPr>
        <w:t>alterações</w:t>
      </w:r>
      <w:r w:rsidRPr="00783082">
        <w:rPr>
          <w:rFonts w:asciiTheme="minorHAnsi" w:hAnsiTheme="minorHAnsi" w:cs="Calibri"/>
          <w:szCs w:val="24"/>
        </w:rPr>
        <w:t xml:space="preserve"> recomendada no Parecer Jurídico nº 3</w:t>
      </w:r>
      <w:r w:rsidRPr="00783082" w:rsidR="009D2232">
        <w:rPr>
          <w:rFonts w:asciiTheme="minorHAnsi" w:hAnsiTheme="minorHAnsi" w:cs="Calibri"/>
          <w:szCs w:val="24"/>
        </w:rPr>
        <w:t>4</w:t>
      </w:r>
      <w:r w:rsidRPr="00783082">
        <w:rPr>
          <w:rFonts w:asciiTheme="minorHAnsi" w:hAnsiTheme="minorHAnsi" w:cs="Calibri"/>
          <w:szCs w:val="24"/>
        </w:rPr>
        <w:t>/2022. 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 xml:space="preserve">, </w:t>
      </w:r>
      <w:r w:rsidR="009D2232">
        <w:rPr>
          <w:rFonts w:ascii="Calibri" w:hAnsi="Calibri" w:cs="Calibri"/>
          <w:szCs w:val="24"/>
        </w:rPr>
        <w:t>07</w:t>
      </w:r>
      <w:r w:rsidRPr="003A7521">
        <w:rPr>
          <w:rFonts w:ascii="Calibri" w:hAnsi="Calibri" w:cs="Calibri"/>
          <w:szCs w:val="24"/>
        </w:rPr>
        <w:t xml:space="preserve"> de </w:t>
      </w:r>
      <w:r w:rsidR="009D2232">
        <w:rPr>
          <w:rFonts w:ascii="Calibri" w:hAnsi="Calibri" w:cs="Calibri"/>
          <w:szCs w:val="24"/>
        </w:rPr>
        <w:t>abril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9D2232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9D2232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9D2232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9D2232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9D2232" w:rsidP="00305026">
            <w:pPr>
              <w:pStyle w:val="Footer"/>
              <w:ind w:left="-1985" w:right="-313"/>
              <w:jc w:val="center"/>
            </w:pPr>
          </w:p>
          <w:p w:rsidR="009D2232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F01F9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F01F9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232" w:rsidP="00305026">
    <w:pPr>
      <w:pStyle w:val="Header"/>
      <w:jc w:val="center"/>
      <w:rPr>
        <w:b/>
        <w:sz w:val="26"/>
        <w:lang w:val="pt-PT"/>
      </w:rPr>
    </w:pPr>
  </w:p>
  <w:p w:rsidR="009D2232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32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0641031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328263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083658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D2232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20952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083658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D2232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D2232" w:rsidP="0030502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6682F"/>
    <w:rsid w:val="001B125C"/>
    <w:rsid w:val="00305026"/>
    <w:rsid w:val="003A7521"/>
    <w:rsid w:val="003D4024"/>
    <w:rsid w:val="005D6203"/>
    <w:rsid w:val="00646BC4"/>
    <w:rsid w:val="00724E61"/>
    <w:rsid w:val="00743FE1"/>
    <w:rsid w:val="00783082"/>
    <w:rsid w:val="00813294"/>
    <w:rsid w:val="009D2232"/>
    <w:rsid w:val="00A779B8"/>
    <w:rsid w:val="00AD09BD"/>
    <w:rsid w:val="00AF01F9"/>
    <w:rsid w:val="00DA5745"/>
    <w:rsid w:val="00DD45D3"/>
    <w:rsid w:val="00F260B9"/>
    <w:rsid w:val="00F33184"/>
    <w:rsid w:val="00F53BEF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dcterms:created xsi:type="dcterms:W3CDTF">2022-04-07T14:07:00Z</dcterms:created>
  <dcterms:modified xsi:type="dcterms:W3CDTF">2022-04-07T14:36:00Z</dcterms:modified>
</cp:coreProperties>
</file>