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DA5745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3A7521">
        <w:rPr>
          <w:rFonts w:ascii="Calibri" w:hAnsi="Calibri" w:cs="Calibri"/>
          <w:b/>
          <w:color w:val="auto"/>
        </w:rPr>
        <w:t>Parecer Jurídico nº</w:t>
      </w:r>
      <w:r>
        <w:rPr>
          <w:rFonts w:ascii="Calibri" w:hAnsi="Calibri" w:cs="Calibri"/>
          <w:b/>
          <w:color w:val="auto"/>
        </w:rPr>
        <w:t xml:space="preserve"> </w:t>
      </w:r>
      <w:r w:rsidR="00305026">
        <w:rPr>
          <w:rFonts w:ascii="Calibri" w:hAnsi="Calibri" w:cs="Calibri"/>
          <w:b/>
          <w:color w:val="auto"/>
        </w:rPr>
        <w:t>12</w:t>
      </w:r>
      <w:r w:rsidR="00D932DC">
        <w:rPr>
          <w:rFonts w:ascii="Calibri" w:hAnsi="Calibri" w:cs="Calibri"/>
          <w:b/>
          <w:color w:val="auto"/>
        </w:rPr>
        <w:t>6</w:t>
      </w:r>
      <w:r w:rsidRPr="003A7521">
        <w:rPr>
          <w:rFonts w:ascii="Calibri" w:hAnsi="Calibri" w:cs="Calibri"/>
          <w:b/>
          <w:color w:val="auto"/>
        </w:rPr>
        <w:t>/202</w:t>
      </w:r>
      <w:r>
        <w:rPr>
          <w:rFonts w:ascii="Calibri" w:hAnsi="Calibri" w:cs="Calibri"/>
          <w:b/>
          <w:color w:val="auto"/>
        </w:rPr>
        <w:t>2.</w:t>
      </w:r>
    </w:p>
    <w:p w:rsidR="00A779B8" w:rsidRPr="00D932DC" w:rsidP="00D932DC">
      <w:pPr>
        <w:spacing w:after="0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Assunto</w:t>
      </w:r>
      <w:r w:rsidRPr="00305026">
        <w:rPr>
          <w:rFonts w:ascii="Calibri" w:hAnsi="Calibri" w:cs="Calibri"/>
          <w:bCs/>
          <w:szCs w:val="24"/>
        </w:rPr>
        <w:t xml:space="preserve">: </w:t>
      </w:r>
      <w:r w:rsidRPr="00305026">
        <w:rPr>
          <w:rFonts w:ascii="Calibri" w:hAnsi="Calibri" w:cs="Calibri"/>
          <w:b/>
          <w:bCs/>
          <w:szCs w:val="24"/>
        </w:rPr>
        <w:t xml:space="preserve">Emenda 01 ao Projeto de Lei nº </w:t>
      </w:r>
      <w:r w:rsidR="00D932DC">
        <w:rPr>
          <w:rFonts w:ascii="Calibri" w:hAnsi="Calibri" w:cs="Calibri"/>
          <w:b/>
          <w:bCs/>
          <w:szCs w:val="24"/>
        </w:rPr>
        <w:t xml:space="preserve">122/2021 - </w:t>
      </w:r>
      <w:r w:rsidRPr="00D932DC" w:rsidR="00D932DC">
        <w:rPr>
          <w:rFonts w:ascii="Calibri" w:hAnsi="Calibri" w:cs="Calibri"/>
          <w:bCs/>
          <w:szCs w:val="24"/>
        </w:rPr>
        <w:t>Altera o artigo 3º do Projeto de Lei nº 122/2021 — que “dispõe sobre a</w:t>
      </w:r>
      <w:r w:rsidR="00D932DC">
        <w:rPr>
          <w:rFonts w:ascii="Calibri" w:hAnsi="Calibri" w:cs="Calibri"/>
          <w:bCs/>
          <w:szCs w:val="24"/>
        </w:rPr>
        <w:t xml:space="preserve"> </w:t>
      </w:r>
      <w:r w:rsidRPr="00D932DC" w:rsidR="00D932DC">
        <w:rPr>
          <w:rFonts w:ascii="Calibri" w:hAnsi="Calibri" w:cs="Calibri"/>
          <w:bCs/>
          <w:szCs w:val="24"/>
        </w:rPr>
        <w:t>obrigatoriedade por parte dos hospitais públicos e privados, do registro e da</w:t>
      </w:r>
      <w:r w:rsidR="00D932DC">
        <w:rPr>
          <w:rFonts w:ascii="Calibri" w:hAnsi="Calibri" w:cs="Calibri"/>
          <w:bCs/>
          <w:szCs w:val="24"/>
        </w:rPr>
        <w:t xml:space="preserve"> </w:t>
      </w:r>
      <w:r w:rsidRPr="00D932DC" w:rsidR="00D932DC">
        <w:rPr>
          <w:rFonts w:ascii="Calibri" w:hAnsi="Calibri" w:cs="Calibri"/>
          <w:bCs/>
          <w:szCs w:val="24"/>
        </w:rPr>
        <w:t>comunicação imediata de recém-nascidos</w:t>
      </w:r>
      <w:r w:rsidR="00D932DC">
        <w:rPr>
          <w:rFonts w:ascii="Calibri" w:hAnsi="Calibri" w:cs="Calibri"/>
          <w:bCs/>
          <w:szCs w:val="24"/>
        </w:rPr>
        <w:t xml:space="preserve"> </w:t>
      </w:r>
      <w:r w:rsidRPr="00D932DC" w:rsidR="00D932DC">
        <w:rPr>
          <w:rFonts w:ascii="Calibri" w:hAnsi="Calibri" w:cs="Calibri"/>
          <w:bCs/>
          <w:szCs w:val="24"/>
        </w:rPr>
        <w:t>com síndrome de Down às instituições,</w:t>
      </w:r>
      <w:r w:rsidR="00D932DC">
        <w:rPr>
          <w:rFonts w:ascii="Calibri" w:hAnsi="Calibri" w:cs="Calibri"/>
          <w:bCs/>
          <w:szCs w:val="24"/>
        </w:rPr>
        <w:t xml:space="preserve"> </w:t>
      </w:r>
      <w:r w:rsidRPr="00D932DC" w:rsidR="00D932DC">
        <w:rPr>
          <w:rFonts w:ascii="Calibri" w:hAnsi="Calibri" w:cs="Calibri"/>
          <w:bCs/>
          <w:szCs w:val="24"/>
        </w:rPr>
        <w:t>entidades e associações especializadas que</w:t>
      </w:r>
      <w:r w:rsidR="00D932DC">
        <w:rPr>
          <w:rFonts w:ascii="Calibri" w:hAnsi="Calibri" w:cs="Calibri"/>
          <w:bCs/>
          <w:szCs w:val="24"/>
        </w:rPr>
        <w:t xml:space="preserve"> desenvolvem atividades com pessoas </w:t>
      </w:r>
      <w:r w:rsidRPr="00D932DC" w:rsidR="00D932DC">
        <w:rPr>
          <w:rFonts w:ascii="Calibri" w:hAnsi="Calibri" w:cs="Calibri"/>
          <w:bCs/>
          <w:szCs w:val="24"/>
        </w:rPr>
        <w:t>com deficiência no Município de Valinhos</w:t>
      </w:r>
      <w:r w:rsidRPr="00305026" w:rsidR="00305026">
        <w:rPr>
          <w:rFonts w:ascii="Calibri" w:hAnsi="Calibri" w:cs="Calibri"/>
          <w:bCs/>
          <w:szCs w:val="24"/>
        </w:rPr>
        <w:t>”.</w:t>
      </w:r>
      <w:r w:rsidR="00305026">
        <w:rPr>
          <w:rFonts w:ascii="Calibri" w:hAnsi="Calibri" w:cs="Calibri"/>
          <w:b/>
          <w:bCs/>
          <w:szCs w:val="24"/>
        </w:rPr>
        <w:t xml:space="preserve"> Emenda de autoria </w:t>
      </w:r>
      <w:r w:rsidR="00D932DC">
        <w:rPr>
          <w:rFonts w:ascii="Calibri" w:hAnsi="Calibri" w:cs="Calibri"/>
          <w:b/>
          <w:bCs/>
          <w:szCs w:val="24"/>
        </w:rPr>
        <w:t xml:space="preserve">do Vereador </w:t>
      </w:r>
      <w:r w:rsidRPr="00D932DC" w:rsidR="00D932DC">
        <w:rPr>
          <w:rFonts w:ascii="Calibri" w:hAnsi="Calibri" w:cs="Calibri"/>
          <w:b/>
          <w:bCs/>
        </w:rPr>
        <w:t>André Melchert</w:t>
      </w:r>
      <w:r w:rsidR="00D932DC">
        <w:rPr>
          <w:rFonts w:ascii="Calibri" w:hAnsi="Calibri" w:cs="Calibri"/>
          <w:b/>
          <w:bCs/>
        </w:rPr>
        <w:t>.</w:t>
      </w:r>
    </w:p>
    <w:p w:rsidR="00D932DC" w:rsidP="00D932DC">
      <w:pPr>
        <w:spacing w:after="0"/>
        <w:jc w:val="both"/>
        <w:rPr>
          <w:rFonts w:ascii="Calibri" w:hAnsi="Calibri" w:cs="Calibri"/>
          <w:b/>
          <w:bCs/>
        </w:rPr>
      </w:pPr>
    </w:p>
    <w:p w:rsidR="00D932DC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bookmarkStart w:id="0" w:name="_GoBack"/>
      <w:bookmarkEnd w:id="0"/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932DC" w:rsidRPr="00D932DC" w:rsidP="00D932DC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>em epígrafe que</w:t>
      </w:r>
      <w:r w:rsidR="009D2232">
        <w:rPr>
          <w:rFonts w:asciiTheme="minorHAnsi" w:hAnsiTheme="minorHAnsi" w:cstheme="minorHAnsi"/>
        </w:rPr>
        <w:t xml:space="preserve"> </w:t>
      </w:r>
      <w:r w:rsidRPr="00D932DC">
        <w:rPr>
          <w:rFonts w:asciiTheme="minorHAnsi" w:hAnsiTheme="minorHAnsi" w:cstheme="minorHAnsi"/>
          <w:i/>
        </w:rPr>
        <w:t>a</w:t>
      </w:r>
      <w:r w:rsidRPr="00D932DC">
        <w:rPr>
          <w:rFonts w:ascii="Calibri" w:hAnsi="Calibri" w:cs="Calibri"/>
          <w:bCs/>
          <w:i/>
        </w:rPr>
        <w:t>ltera o artigo 3º do Projeto de Lei nº 122/2021 — que “dispõe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Valinhos”.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783082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 xml:space="preserve">atende aos dispositivos do Regimento Interno da Câmara, não havendo óbice regimental na sua tramitação e quanto à matéria concluímos pela constitucionalidade do projeto que se limita a propor </w:t>
      </w:r>
      <w:r w:rsidR="00031240">
        <w:rPr>
          <w:rFonts w:asciiTheme="minorHAnsi" w:hAnsiTheme="minorHAnsi" w:cs="Calibri"/>
          <w:szCs w:val="24"/>
        </w:rPr>
        <w:t>alteração</w:t>
      </w:r>
      <w:r w:rsidRPr="00783082">
        <w:rPr>
          <w:rFonts w:asciiTheme="minorHAnsi" w:hAnsiTheme="minorHAnsi" w:cs="Calibri"/>
          <w:szCs w:val="24"/>
        </w:rPr>
        <w:t xml:space="preserve"> recomendada no Parecer Jurídico nº </w:t>
      </w:r>
      <w:r w:rsidR="00031240">
        <w:rPr>
          <w:rFonts w:asciiTheme="minorHAnsi" w:hAnsiTheme="minorHAnsi" w:cs="Calibri"/>
          <w:szCs w:val="24"/>
        </w:rPr>
        <w:t>281</w:t>
      </w:r>
      <w:r w:rsidRPr="00783082">
        <w:rPr>
          <w:rFonts w:asciiTheme="minorHAnsi" w:hAnsiTheme="minorHAnsi" w:cs="Calibri"/>
          <w:szCs w:val="24"/>
        </w:rPr>
        <w:t>/202</w:t>
      </w:r>
      <w:r w:rsidR="00031240">
        <w:rPr>
          <w:rFonts w:asciiTheme="minorHAnsi" w:hAnsiTheme="minorHAnsi" w:cs="Calibri"/>
          <w:szCs w:val="24"/>
        </w:rPr>
        <w:t>1</w:t>
      </w:r>
      <w:r w:rsidRPr="00783082">
        <w:rPr>
          <w:rFonts w:asciiTheme="minorHAnsi" w:hAnsiTheme="minorHAnsi" w:cs="Calibri"/>
          <w:szCs w:val="24"/>
        </w:rPr>
        <w:t>. 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 xml:space="preserve">, </w:t>
      </w:r>
      <w:r w:rsidR="009D2232">
        <w:rPr>
          <w:rFonts w:ascii="Calibri" w:hAnsi="Calibri" w:cs="Calibri"/>
          <w:szCs w:val="24"/>
        </w:rPr>
        <w:t>07</w:t>
      </w:r>
      <w:r w:rsidRPr="003A7521">
        <w:rPr>
          <w:rFonts w:ascii="Calibri" w:hAnsi="Calibri" w:cs="Calibri"/>
          <w:szCs w:val="24"/>
        </w:rPr>
        <w:t xml:space="preserve"> de </w:t>
      </w:r>
      <w:r w:rsidR="009D2232">
        <w:rPr>
          <w:rFonts w:ascii="Calibri" w:hAnsi="Calibri" w:cs="Calibri"/>
          <w:szCs w:val="24"/>
        </w:rPr>
        <w:t>abril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9D2232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9D2232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9D2232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9D2232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9D2232" w:rsidP="00305026">
            <w:pPr>
              <w:pStyle w:val="Footer"/>
              <w:ind w:left="-1985" w:right="-313"/>
              <w:jc w:val="center"/>
            </w:pPr>
          </w:p>
          <w:p w:rsidR="009D2232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D2626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D2626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232" w:rsidP="00305026">
    <w:pPr>
      <w:pStyle w:val="Header"/>
      <w:jc w:val="center"/>
      <w:rPr>
        <w:b/>
        <w:sz w:val="26"/>
        <w:lang w:val="pt-PT"/>
      </w:rPr>
    </w:pPr>
  </w:p>
  <w:p w:rsidR="009D2232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232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5888255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7423992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083714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D2232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0950741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083658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D2232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D2232" w:rsidP="0030502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6682F"/>
    <w:rsid w:val="001B125C"/>
    <w:rsid w:val="002F41B0"/>
    <w:rsid w:val="00305026"/>
    <w:rsid w:val="003A7521"/>
    <w:rsid w:val="003D4024"/>
    <w:rsid w:val="005D6203"/>
    <w:rsid w:val="00646BC4"/>
    <w:rsid w:val="00724E61"/>
    <w:rsid w:val="00743FE1"/>
    <w:rsid w:val="00783082"/>
    <w:rsid w:val="007D2626"/>
    <w:rsid w:val="00813294"/>
    <w:rsid w:val="009D2232"/>
    <w:rsid w:val="00A779B8"/>
    <w:rsid w:val="00AD09BD"/>
    <w:rsid w:val="00AF01F9"/>
    <w:rsid w:val="00D932DC"/>
    <w:rsid w:val="00DA5745"/>
    <w:rsid w:val="00DD45D3"/>
    <w:rsid w:val="00F33184"/>
    <w:rsid w:val="00F53BEF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2022-04-07T14:40:00Z</dcterms:created>
  <dcterms:modified xsi:type="dcterms:W3CDTF">2022-04-07T14:46:00Z</dcterms:modified>
</cp:coreProperties>
</file>