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15598">
        <w:rPr>
          <w:rFonts w:cs="Arial"/>
          <w:bCs/>
          <w:szCs w:val="24"/>
        </w:rPr>
        <w:t xml:space="preserve"> aos 06 de Abril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D15598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15598" w:rsidR="00D15598">
      <w:rPr>
        <w:rFonts w:cs="Arial"/>
        <w:b/>
        <w:noProof/>
        <w:sz w:val="18"/>
        <w:szCs w:val="18"/>
      </w:rPr>
      <w:t>1</w:t>
    </w:r>
    <w:r w:rsidRPr="00D15598" w:rsidR="00D1559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1827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2385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2690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196/2021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TOLOI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3º do Projeto, que “Dispõe sobre a proibição da aquisição, estocagem, comercialização, reciclagem, processamento e benefício de materiais sem comprovação de origem, na forma que especifica.”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5152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C7A0F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15598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3</cp:revision>
  <dcterms:created xsi:type="dcterms:W3CDTF">2022-04-05T12:48:00Z</dcterms:created>
  <dcterms:modified xsi:type="dcterms:W3CDTF">2022-04-07T11:46:00Z</dcterms:modified>
</cp:coreProperties>
</file>