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BE432C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E432C">
        <w:rPr>
          <w:rFonts w:asciiTheme="minorHAnsi" w:hAnsiTheme="minorHAnsi" w:cstheme="minorHAnsi"/>
          <w:b/>
          <w:color w:val="auto"/>
        </w:rPr>
        <w:t xml:space="preserve">Parecer </w:t>
      </w:r>
      <w:r w:rsidRPr="00BE432C">
        <w:rPr>
          <w:rFonts w:asciiTheme="minorHAnsi" w:hAnsiTheme="minorHAnsi" w:cstheme="minorHAnsi"/>
          <w:b/>
          <w:color w:val="auto"/>
        </w:rPr>
        <w:t>J</w:t>
      </w:r>
      <w:r w:rsidRPr="00BE432C">
        <w:rPr>
          <w:rFonts w:asciiTheme="minorHAnsi" w:hAnsiTheme="minorHAnsi" w:cstheme="minorHAnsi"/>
          <w:b/>
          <w:color w:val="auto"/>
        </w:rPr>
        <w:t>urídico</w:t>
      </w:r>
      <w:r w:rsidRPr="00BE432C">
        <w:rPr>
          <w:rFonts w:asciiTheme="minorHAnsi" w:hAnsiTheme="minorHAnsi" w:cstheme="minorHAnsi"/>
          <w:b/>
          <w:color w:val="auto"/>
        </w:rPr>
        <w:t xml:space="preserve"> nº</w:t>
      </w:r>
      <w:r w:rsidRPr="00BE432C">
        <w:rPr>
          <w:rFonts w:asciiTheme="minorHAnsi" w:hAnsiTheme="minorHAnsi" w:cstheme="minorHAnsi"/>
          <w:b/>
          <w:color w:val="auto"/>
        </w:rPr>
        <w:t xml:space="preserve"> </w:t>
      </w:r>
      <w:r w:rsidRPr="00BE432C" w:rsidR="00BE432C">
        <w:rPr>
          <w:rFonts w:asciiTheme="minorHAnsi" w:hAnsiTheme="minorHAnsi" w:cstheme="minorHAnsi"/>
          <w:b/>
          <w:color w:val="auto"/>
        </w:rPr>
        <w:t>11</w:t>
      </w:r>
      <w:r w:rsidR="00C367F0">
        <w:rPr>
          <w:rFonts w:asciiTheme="minorHAnsi" w:hAnsiTheme="minorHAnsi" w:cstheme="minorHAnsi"/>
          <w:b/>
          <w:color w:val="auto"/>
        </w:rPr>
        <w:t>1</w:t>
      </w:r>
      <w:bookmarkStart w:id="0" w:name="_GoBack"/>
      <w:bookmarkEnd w:id="0"/>
      <w:r w:rsidRPr="00BE432C" w:rsidR="000E086D">
        <w:rPr>
          <w:rFonts w:asciiTheme="minorHAnsi" w:hAnsiTheme="minorHAnsi" w:cstheme="minorHAnsi"/>
          <w:b/>
          <w:color w:val="auto"/>
        </w:rPr>
        <w:t>/202</w:t>
      </w:r>
      <w:r w:rsidRPr="00BE432C" w:rsidR="00AD740D">
        <w:rPr>
          <w:rFonts w:asciiTheme="minorHAnsi" w:hAnsiTheme="minorHAnsi" w:cstheme="minorHAnsi"/>
          <w:b/>
          <w:color w:val="auto"/>
        </w:rPr>
        <w:t>2</w:t>
      </w:r>
    </w:p>
    <w:p w:rsidR="00834F2B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E432C">
        <w:rPr>
          <w:rFonts w:asciiTheme="minorHAnsi" w:hAnsiTheme="minorHAnsi" w:cstheme="minorHAnsi"/>
          <w:b/>
        </w:rPr>
        <w:t>Assunto: Projeto de Lei nº</w:t>
      </w:r>
      <w:r w:rsidRPr="00BE432C" w:rsidR="00CF7799">
        <w:rPr>
          <w:rFonts w:asciiTheme="minorHAnsi" w:hAnsiTheme="minorHAnsi" w:cstheme="minorHAnsi"/>
          <w:b/>
        </w:rPr>
        <w:t xml:space="preserve"> </w:t>
      </w:r>
      <w:r w:rsidRPr="00BE432C" w:rsidR="008F4CAA">
        <w:rPr>
          <w:rFonts w:asciiTheme="minorHAnsi" w:hAnsiTheme="minorHAnsi" w:cstheme="minorHAnsi"/>
          <w:b/>
        </w:rPr>
        <w:t>60</w:t>
      </w:r>
      <w:r w:rsidRPr="00BE432C" w:rsidR="00F0163A">
        <w:rPr>
          <w:rFonts w:asciiTheme="minorHAnsi" w:hAnsiTheme="minorHAnsi" w:cstheme="minorHAnsi"/>
          <w:b/>
        </w:rPr>
        <w:t>/202</w:t>
      </w:r>
      <w:r w:rsidRPr="00BE432C" w:rsidR="00AD740D">
        <w:rPr>
          <w:rFonts w:asciiTheme="minorHAnsi" w:hAnsiTheme="minorHAnsi" w:cstheme="minorHAnsi"/>
          <w:b/>
        </w:rPr>
        <w:t>2</w:t>
      </w:r>
      <w:r w:rsidRPr="00BE432C">
        <w:rPr>
          <w:rFonts w:asciiTheme="minorHAnsi" w:hAnsiTheme="minorHAnsi" w:cstheme="minorHAnsi"/>
          <w:b/>
        </w:rPr>
        <w:t xml:space="preserve"> – </w:t>
      </w:r>
      <w:r w:rsidRPr="004F1E85">
        <w:rPr>
          <w:rFonts w:asciiTheme="minorHAnsi" w:hAnsiTheme="minorHAnsi" w:cstheme="minorHAnsi"/>
          <w:b/>
        </w:rPr>
        <w:t xml:space="preserve">Autoria do </w:t>
      </w:r>
      <w:r w:rsidRPr="004F1E85" w:rsidR="00031E27">
        <w:rPr>
          <w:rFonts w:asciiTheme="minorHAnsi" w:hAnsiTheme="minorHAnsi" w:cstheme="minorHAnsi"/>
          <w:b/>
        </w:rPr>
        <w:t>Poder Executivo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Dispõe sobre autorização para a abertura de crédito adicional </w:t>
      </w:r>
      <w:r w:rsidR="008F4CAA">
        <w:rPr>
          <w:rFonts w:asciiTheme="minorHAnsi" w:hAnsiTheme="minorHAnsi" w:cstheme="minorHAnsi"/>
          <w:b/>
        </w:rPr>
        <w:t>especial</w:t>
      </w:r>
      <w:r w:rsidRPr="004F1E85" w:rsidR="00F0163A">
        <w:rPr>
          <w:rFonts w:asciiTheme="minorHAnsi" w:hAnsiTheme="minorHAnsi" w:cstheme="minorHAnsi"/>
          <w:b/>
        </w:rPr>
        <w:t xml:space="preserve">, até o valor de </w:t>
      </w:r>
      <w:r w:rsidRPr="008F4CAA" w:rsidR="008F4CAA">
        <w:rPr>
          <w:rFonts w:asciiTheme="minorHAnsi" w:hAnsiTheme="minorHAnsi" w:cstheme="minorHAnsi"/>
          <w:b/>
        </w:rPr>
        <w:t>R$ 435.394,31, no Departamento de Águas e Esgotos de Valinhos</w:t>
      </w:r>
      <w:r w:rsidR="008F4CAA">
        <w:rPr>
          <w:rFonts w:asciiTheme="minorHAnsi" w:hAnsiTheme="minorHAnsi" w:cstheme="minorHAnsi"/>
          <w:b/>
        </w:rPr>
        <w:t xml:space="preserve"> </w:t>
      </w:r>
      <w:r w:rsidRPr="004F1E85" w:rsidR="00CF7799">
        <w:rPr>
          <w:rFonts w:asciiTheme="minorHAnsi" w:hAnsiTheme="minorHAnsi" w:cstheme="minorHAnsi"/>
          <w:b/>
        </w:rPr>
        <w:t>-</w:t>
      </w:r>
      <w:r w:rsidRPr="004F1E85" w:rsidR="002B198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 w:rsidR="008F4CAA">
        <w:rPr>
          <w:rFonts w:asciiTheme="minorHAnsi" w:hAnsiTheme="minorHAnsi" w:cstheme="minorHAnsi"/>
          <w:b/>
        </w:rPr>
        <w:t>23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4F1E85" w:rsidRPr="00C34111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4F1E85" w:rsidRPr="008F4CAA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>“</w:t>
      </w:r>
      <w:r w:rsidRPr="004F1E85">
        <w:rPr>
          <w:rFonts w:asciiTheme="minorHAnsi" w:hAnsiTheme="minorHAnsi" w:cstheme="minorHAnsi"/>
          <w:i/>
        </w:rPr>
        <w:t>Dispõe sobre autorização para a</w:t>
      </w:r>
      <w:r w:rsidR="008F4CAA">
        <w:rPr>
          <w:rFonts w:asciiTheme="minorHAnsi" w:hAnsiTheme="minorHAnsi" w:cstheme="minorHAnsi"/>
          <w:i/>
        </w:rPr>
        <w:t xml:space="preserve"> abertura de crédito adicional especial</w:t>
      </w:r>
      <w:r w:rsidRPr="004F1E85">
        <w:rPr>
          <w:rFonts w:asciiTheme="minorHAnsi" w:hAnsiTheme="minorHAnsi" w:cstheme="minorHAnsi"/>
          <w:i/>
        </w:rPr>
        <w:t xml:space="preserve">, até o valor de </w:t>
      </w:r>
      <w:r w:rsidR="00636BBC">
        <w:rPr>
          <w:rFonts w:asciiTheme="minorHAnsi" w:hAnsiTheme="minorHAnsi" w:cstheme="minorHAnsi"/>
          <w:i/>
        </w:rPr>
        <w:t xml:space="preserve">R$ </w:t>
      </w:r>
      <w:r w:rsidR="008F4CAA">
        <w:rPr>
          <w:rFonts w:asciiTheme="minorHAnsi" w:hAnsiTheme="minorHAnsi" w:cstheme="minorHAnsi"/>
          <w:i/>
        </w:rPr>
        <w:t>435.394,31</w:t>
      </w:r>
      <w:r w:rsidR="008F4CA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F4CAA" w:rsidR="008F4CAA">
        <w:rPr>
          <w:rFonts w:asciiTheme="minorHAnsi" w:hAnsiTheme="minorHAnsi" w:cstheme="minorHAnsi"/>
          <w:i/>
        </w:rPr>
        <w:t>no Departamento de Águas e Esgotos de Valinhos”.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 xml:space="preserve">a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, em análise </w:t>
      </w:r>
      <w:r w:rsidRPr="00C34111">
        <w:rPr>
          <w:rFonts w:asciiTheme="minorHAnsi" w:hAnsiTheme="minorHAnsi" w:cstheme="minorHAnsi"/>
          <w:color w:val="auto"/>
          <w:u w:val="single"/>
        </w:rPr>
        <w:t>estritamente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jurídica</w:t>
      </w:r>
      <w:r w:rsidRPr="00C34111">
        <w:rPr>
          <w:rFonts w:asciiTheme="minorHAnsi" w:hAnsiTheme="minorHAnsi" w:cstheme="minorHAnsi"/>
          <w:color w:val="auto"/>
          <w:u w:val="single"/>
        </w:rPr>
        <w:t>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8F4CA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8F4CAA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C34111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8F4CAA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F82AEB" w:rsidRPr="00BC1BFF" w:rsidP="00F82AEB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Preliminarmente, quanto ao </w:t>
      </w:r>
      <w:r w:rsidRPr="003D0BDE">
        <w:rPr>
          <w:rFonts w:eastAsia="Calibri" w:asciiTheme="minorHAnsi" w:hAnsiTheme="minorHAnsi" w:cstheme="minorHAnsi"/>
          <w:color w:val="000000"/>
          <w:szCs w:val="24"/>
          <w:u w:val="single"/>
        </w:rPr>
        <w:t>pedido de urgência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 xml:space="preserve"> o Regimento</w:t>
      </w:r>
      <w:r>
        <w:rPr>
          <w:rFonts w:eastAsia="Calibri" w:asciiTheme="minorHAnsi" w:hAnsiTheme="minorHAnsi" w:cstheme="minorHAnsi"/>
          <w:color w:val="000000"/>
          <w:szCs w:val="24"/>
        </w:rPr>
        <w:t xml:space="preserve"> </w:t>
      </w:r>
      <w:r w:rsidRPr="00BC1BFF">
        <w:rPr>
          <w:rFonts w:eastAsia="Calibri" w:asciiTheme="minorHAnsi" w:hAnsiTheme="minorHAnsi" w:cstheme="minorHAnsi"/>
          <w:color w:val="000000"/>
          <w:szCs w:val="24"/>
        </w:rPr>
        <w:t>Interno assim dispõe:</w:t>
      </w:r>
    </w:p>
    <w:p w:rsidR="00F82AEB" w:rsidRPr="00BC1BFF" w:rsidP="00AD740D">
      <w:pPr>
        <w:autoSpaceDE w:val="0"/>
        <w:autoSpaceDN w:val="0"/>
        <w:adjustRightInd w:val="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Art. 115. O Prefeito poderá solicitar regime de urgência para projeto de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sua iniciativa considerado de relevante interesse público, devendo a Câmara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 apreciá-lo dentro do prazo de trinta </w:t>
      </w:r>
      <w:r w:rsidRPr="00BC1BFF">
        <w:rPr>
          <w:rFonts w:eastAsia="Calibri" w:asciiTheme="minorHAnsi" w:hAnsiTheme="minorHAnsi" w:cstheme="minorHAnsi"/>
          <w:i/>
          <w:sz w:val="22"/>
          <w:szCs w:val="22"/>
        </w:rPr>
        <w:t>dias.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asciiTheme="minorHAnsi" w:eastAsiaTheme="minorHAnsi" w:hAnsiTheme="minorHAnsi"/>
          <w:i/>
          <w:color w:val="000000"/>
          <w:sz w:val="22"/>
          <w:szCs w:val="22"/>
          <w:lang w:eastAsia="en-US"/>
        </w:rPr>
        <w:t xml:space="preserve">§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2º Por exceção, não ficará sobrestado o exame do veto cujo prazo de deliberação tenha se esgotado.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4º A Mesa poderá fixar prazo para apresentação de emendas tanto em primeira como em segunda discussão. </w:t>
      </w:r>
    </w:p>
    <w:p w:rsidR="00F82AEB" w:rsidRPr="00BC1BFF" w:rsidP="00AD740D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§ 5º Após o prazo fixado na forma do parágrafo anterior, as emendas para a segunda discussão só serão aceitas quando </w:t>
      </w: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 xml:space="preserve">apresentadas pela Mesa ou assinada por pelo menos um terço dos vereadores da Câmara. </w:t>
      </w:r>
    </w:p>
    <w:p w:rsidR="00F82AEB" w:rsidRPr="00BC1BFF" w:rsidP="00AD740D">
      <w:pPr>
        <w:autoSpaceDE w:val="0"/>
        <w:autoSpaceDN w:val="0"/>
        <w:adjustRightInd w:val="0"/>
        <w:spacing w:after="240"/>
        <w:ind w:left="2835"/>
        <w:jc w:val="both"/>
        <w:rPr>
          <w:rFonts w:eastAsia="Calibri" w:asciiTheme="minorHAnsi" w:hAnsiTheme="minorHAnsi" w:cstheme="minorHAnsi"/>
          <w:i/>
          <w:color w:val="000000"/>
          <w:sz w:val="22"/>
          <w:szCs w:val="22"/>
        </w:rPr>
      </w:pPr>
      <w:r w:rsidRPr="00BC1BFF">
        <w:rPr>
          <w:rFonts w:eastAsia="Calibri" w:asciiTheme="minorHAnsi" w:hAnsiTheme="minorHAnsi" w:cstheme="minorHAnsi"/>
          <w:i/>
          <w:color w:val="000000"/>
          <w:sz w:val="22"/>
          <w:szCs w:val="22"/>
        </w:rPr>
        <w:t>§ 6º Aos projetos de Codificação e Estatuto, artigos 121 e 122, não se aplicam o disposto no caput do artigo.</w:t>
      </w:r>
    </w:p>
    <w:p w:rsidR="00F82AEB" w:rsidRPr="00317C61" w:rsidP="00F82AEB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317C61">
        <w:rPr>
          <w:rFonts w:asciiTheme="minorHAnsi" w:hAnsiTheme="minorHAnsi" w:cstheme="minorHAnsi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C34111" w:rsidR="00F34BF6">
        <w:rPr>
          <w:rFonts w:asciiTheme="minorHAnsi" w:hAnsiTheme="minorHAnsi" w:cstheme="minorHAnsi"/>
          <w:u w:val="single"/>
        </w:rPr>
        <w:t>vedam</w:t>
      </w:r>
      <w:r w:rsidRPr="00C34111">
        <w:rPr>
          <w:rFonts w:asciiTheme="minorHAnsi" w:hAnsiTheme="minorHAnsi" w:cstheme="minorHAnsi"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34111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34111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A078D" w:rsidRPr="008A078D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  <w:shd w:val="clear" w:color="auto" w:fill="FFFFFF"/>
        </w:rPr>
      </w:pP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803DD8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1" w:name="art41"/>
      <w:bookmarkEnd w:id="1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8F4CAA" w:rsidP="00803DD8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F4CAA">
        <w:rPr>
          <w:rFonts w:asciiTheme="minorHAnsi" w:hAnsiTheme="minorHAnsi" w:cstheme="minorHAnsi"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8F4CAA" w:rsidP="00803DD8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F4CAA"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  <w:t> </w:t>
      </w:r>
      <w:bookmarkStart w:id="3" w:name="art41ii"/>
      <w:bookmarkEnd w:id="3"/>
      <w:r w:rsidRPr="008F4CAA">
        <w:rPr>
          <w:rFonts w:asciiTheme="minorHAnsi" w:hAnsiTheme="minorHAnsi" w:cstheme="minorHAnsi"/>
          <w:b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P="00803DD8">
      <w:pPr>
        <w:pStyle w:val="NormalWeb"/>
        <w:spacing w:before="0" w:beforeAutospacing="0" w:after="240" w:afterAutospacing="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A078D" w:rsidRPr="008A078D" w:rsidP="00803DD8">
      <w:pPr>
        <w:pStyle w:val="NormalWeb"/>
        <w:spacing w:before="0" w:beforeAutospacing="0" w:after="240" w:afterAutospacing="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803DD8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803DD8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AD05AC" w:rsidRPr="00F82AEB" w:rsidP="00803DD8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AD05AC" w:rsidRPr="00F82AEB" w:rsidP="00803DD8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b/>
          <w:i/>
          <w:color w:val="000000"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AD05AC" w:rsidRPr="00F82AEB" w:rsidP="00803DD8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F82A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bookmarkStart w:id="7" w:name="art43§1iv"/>
      <w:bookmarkEnd w:id="7"/>
    </w:p>
    <w:p w:rsidR="00AD05AC" w:rsidRPr="00C34111" w:rsidP="00803DD8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8" w:name="art43§2"/>
      <w:bookmarkEnd w:id="8"/>
    </w:p>
    <w:p w:rsidR="00AC6896" w:rsidRPr="00C34111" w:rsidP="00803DD8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AC6896" w:rsidRPr="00C34111" w:rsidP="00803DD8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</w:t>
      </w:r>
      <w:r w:rsidRPr="00C34111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7" w:anchor="art2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4F1E85" w:rsidP="00803DD8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3D0BDE" w:rsidR="007E6039">
        <w:rPr>
          <w:rFonts w:asciiTheme="minorHAnsi" w:hAnsiTheme="minorHAnsi" w:cstheme="minorHAnsi"/>
          <w:b/>
          <w:i/>
          <w:color w:val="000000"/>
          <w:sz w:val="22"/>
          <w:szCs w:val="22"/>
        </w:rPr>
        <w:t>deduzir-se-á</w:t>
      </w:r>
      <w:r w:rsidRPr="003D0BD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3D0BDE" w:rsidR="00C62A22">
        <w:rPr>
          <w:rFonts w:asciiTheme="minorHAnsi" w:hAnsiTheme="minorHAnsi" w:cstheme="minorHAnsi"/>
          <w:b/>
          <w:i/>
          <w:color w:val="000000"/>
          <w:szCs w:val="24"/>
        </w:rPr>
        <w:t>   </w:t>
      </w:r>
      <w:r w:rsidRPr="003D0BDE" w:rsidR="00C62A22">
        <w:rPr>
          <w:rFonts w:asciiTheme="minorHAnsi" w:hAnsiTheme="minorHAnsi" w:cstheme="minorHAnsi"/>
          <w:b/>
          <w:i/>
          <w:color w:val="000000"/>
          <w:szCs w:val="24"/>
        </w:rPr>
        <w:t>  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526FB6" w:rsidP="00803DD8">
      <w:pPr>
        <w:pStyle w:val="BodyText"/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803DD8" w:rsidP="00803DD8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i/>
          <w:szCs w:val="24"/>
        </w:rPr>
      </w:pPr>
      <w:r w:rsidRPr="008F4CAA">
        <w:rPr>
          <w:rFonts w:asciiTheme="minorHAnsi" w:hAnsiTheme="minorHAnsi" w:cstheme="minorHAnsi"/>
          <w:szCs w:val="24"/>
        </w:rPr>
        <w:t xml:space="preserve">No concernente ao </w:t>
      </w:r>
      <w:r w:rsidRPr="008F4CAA" w:rsidR="0038135B">
        <w:rPr>
          <w:rFonts w:asciiTheme="minorHAnsi" w:hAnsiTheme="minorHAnsi" w:cstheme="minorHAnsi"/>
          <w:szCs w:val="24"/>
        </w:rPr>
        <w:t>detalha</w:t>
      </w:r>
      <w:r w:rsidRPr="008F4CAA">
        <w:rPr>
          <w:rFonts w:asciiTheme="minorHAnsi" w:hAnsiTheme="minorHAnsi" w:cstheme="minorHAnsi"/>
          <w:szCs w:val="24"/>
        </w:rPr>
        <w:t xml:space="preserve">mento do excesso de arrecadação consta da mensagem do projeto </w:t>
      </w:r>
      <w:r>
        <w:rPr>
          <w:rFonts w:asciiTheme="minorHAnsi" w:hAnsiTheme="minorHAnsi" w:cstheme="minorHAnsi"/>
          <w:szCs w:val="24"/>
        </w:rPr>
        <w:t>tratar-se</w:t>
      </w:r>
      <w:r w:rsidRPr="008F4CAA">
        <w:rPr>
          <w:rFonts w:asciiTheme="minorHAnsi" w:hAnsiTheme="minorHAnsi" w:cstheme="minorHAnsi"/>
          <w:szCs w:val="24"/>
        </w:rPr>
        <w:t xml:space="preserve"> de </w:t>
      </w:r>
      <w:r w:rsidR="004F2C0D">
        <w:rPr>
          <w:rFonts w:asciiTheme="minorHAnsi" w:hAnsiTheme="minorHAnsi" w:cstheme="minorHAnsi"/>
          <w:i/>
          <w:szCs w:val="24"/>
        </w:rPr>
        <w:t>“verba adquirida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="004F2C0D">
        <w:rPr>
          <w:rFonts w:asciiTheme="minorHAnsi" w:hAnsiTheme="minorHAnsi" w:cstheme="minorHAnsi"/>
          <w:i/>
          <w:szCs w:val="24"/>
        </w:rPr>
        <w:t>através das “EMENDAS</w:t>
      </w:r>
      <w:r w:rsidRPr="008F4CAA">
        <w:rPr>
          <w:rFonts w:asciiTheme="minorHAnsi" w:hAnsiTheme="minorHAnsi" w:cstheme="minorHAnsi"/>
          <w:i/>
          <w:szCs w:val="24"/>
        </w:rPr>
        <w:t xml:space="preserve"> INDIVIDUAIS OGU 2021”, de autoria da Deputada</w:t>
      </w:r>
      <w:r w:rsidR="004F2C0D">
        <w:rPr>
          <w:rFonts w:asciiTheme="minorHAnsi" w:hAnsiTheme="minorHAnsi" w:cstheme="minorHAnsi"/>
          <w:i/>
          <w:szCs w:val="24"/>
        </w:rPr>
        <w:t xml:space="preserve"> Federal </w:t>
      </w:r>
      <w:r w:rsidRPr="008F4CAA">
        <w:rPr>
          <w:rFonts w:asciiTheme="minorHAnsi" w:hAnsiTheme="minorHAnsi" w:cstheme="minorHAnsi"/>
          <w:i/>
          <w:szCs w:val="24"/>
        </w:rPr>
        <w:t>Joice</w:t>
      </w:r>
      <w:r w:rsidR="004F2C0D">
        <w:rPr>
          <w:rFonts w:asciiTheme="minorHAnsi" w:hAnsiTheme="minorHAnsi" w:cstheme="minorHAnsi"/>
          <w:i/>
          <w:szCs w:val="24"/>
        </w:rPr>
        <w:t xml:space="preserve"> Hasselmann, no valor</w:t>
      </w:r>
      <w:r w:rsidRPr="008F4CAA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>de R$ 185.394,31 e do Deputado Federal Vanderlei Macris, no valor de R$ 250.000,00, que fora indicada pelo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>Departamento de Planejamento, Obras e Fiscalização, desta Autarquia, para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>reforço da dotação orçamentária especificada no  projeto,  visando  atender a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>aquisição  de  medidores  de  vazão  eletromagnético  e  ultrassônico,  conexões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 xml:space="preserve">válvulas, </w:t>
      </w:r>
      <w:r w:rsidRPr="008F4CAA">
        <w:rPr>
          <w:rFonts w:asciiTheme="minorHAnsi" w:hAnsiTheme="minorHAnsi" w:cstheme="minorHAnsi"/>
          <w:i/>
          <w:szCs w:val="24"/>
        </w:rPr>
        <w:t>barrilete</w:t>
      </w:r>
      <w:r w:rsidRPr="008F4CAA">
        <w:rPr>
          <w:rFonts w:asciiTheme="minorHAnsi" w:hAnsiTheme="minorHAnsi" w:cstheme="minorHAnsi"/>
          <w:i/>
          <w:szCs w:val="24"/>
        </w:rPr>
        <w:t>, muro de arrimo, alambrados, calçamento e a pavimentação da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>interligação  do  reservatório  elevado  metálico,  de  seiscentos  metros  cúbicos,  na</w:t>
      </w:r>
      <w:r w:rsidR="004F2C0D">
        <w:rPr>
          <w:rFonts w:asciiTheme="minorHAnsi" w:hAnsiTheme="minorHAnsi" w:cstheme="minorHAnsi"/>
          <w:i/>
          <w:szCs w:val="24"/>
        </w:rPr>
        <w:t xml:space="preserve"> </w:t>
      </w:r>
      <w:r w:rsidRPr="008F4CAA">
        <w:rPr>
          <w:rFonts w:asciiTheme="minorHAnsi" w:hAnsiTheme="minorHAnsi" w:cstheme="minorHAnsi"/>
          <w:i/>
          <w:szCs w:val="24"/>
        </w:rPr>
        <w:t xml:space="preserve">Vila Santo Antônio”. </w:t>
      </w:r>
    </w:p>
    <w:p w:rsidR="00AD740D" w:rsidP="004F2C0D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A esse respeito</w:t>
      </w:r>
      <w:r w:rsidR="00BC2ABB">
        <w:rPr>
          <w:rFonts w:asciiTheme="minorHAnsi" w:hAnsiTheme="minorHAnsi" w:cstheme="minorHAnsi"/>
          <w:szCs w:val="24"/>
          <w:u w:val="single"/>
        </w:rPr>
        <w:t>,</w:t>
      </w:r>
      <w:r w:rsidR="00803DD8">
        <w:rPr>
          <w:rFonts w:asciiTheme="minorHAnsi" w:hAnsiTheme="minorHAnsi" w:cstheme="minorHAnsi"/>
          <w:szCs w:val="24"/>
          <w:u w:val="single"/>
        </w:rPr>
        <w:t xml:space="preserve"> segue em nota links</w:t>
      </w:r>
      <w:r>
        <w:rPr>
          <w:rStyle w:val="FootnoteReference"/>
          <w:rFonts w:asciiTheme="minorHAnsi" w:hAnsiTheme="minorHAnsi" w:cstheme="minorHAnsi"/>
          <w:szCs w:val="24"/>
          <w:u w:val="single"/>
        </w:rPr>
        <w:footnoteReference w:id="2"/>
      </w:r>
      <w:r w:rsidR="00803DD8">
        <w:rPr>
          <w:rFonts w:asciiTheme="minorHAnsi" w:hAnsiTheme="minorHAnsi" w:cstheme="minorHAnsi"/>
          <w:szCs w:val="24"/>
          <w:u w:val="single"/>
        </w:rPr>
        <w:t xml:space="preserve"> para</w:t>
      </w:r>
      <w:r w:rsidR="004F2C0D">
        <w:rPr>
          <w:rFonts w:asciiTheme="minorHAnsi" w:hAnsiTheme="minorHAnsi" w:cstheme="minorHAnsi"/>
          <w:szCs w:val="24"/>
          <w:u w:val="single"/>
        </w:rPr>
        <w:t xml:space="preserve"> consulta na Plataforma Mais </w:t>
      </w:r>
      <w:r w:rsidR="004F2C0D">
        <w:rPr>
          <w:rFonts w:asciiTheme="minorHAnsi" w:hAnsiTheme="minorHAnsi" w:cstheme="minorHAnsi"/>
          <w:szCs w:val="24"/>
          <w:u w:val="single"/>
        </w:rPr>
        <w:t>Brasil das Emendas Parlamentares destinas</w:t>
      </w:r>
      <w:r w:rsidR="00BC2ABB">
        <w:rPr>
          <w:rFonts w:asciiTheme="minorHAnsi" w:hAnsiTheme="minorHAnsi" w:cstheme="minorHAnsi"/>
          <w:szCs w:val="24"/>
          <w:u w:val="single"/>
        </w:rPr>
        <w:t xml:space="preserve"> </w:t>
      </w:r>
      <w:r w:rsidR="004F2C0D">
        <w:rPr>
          <w:rFonts w:asciiTheme="minorHAnsi" w:hAnsiTheme="minorHAnsi" w:cstheme="minorHAnsi"/>
          <w:szCs w:val="24"/>
          <w:u w:val="single"/>
        </w:rPr>
        <w:t>ao Município de Valinhos</w:t>
      </w:r>
      <w:r w:rsidR="00272D25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7E7704">
        <w:rPr>
          <w:rFonts w:asciiTheme="minorHAnsi" w:hAnsiTheme="minorHAnsi" w:cstheme="minorHAnsi"/>
          <w:szCs w:val="24"/>
        </w:rPr>
        <w:t xml:space="preserve">No concernente </w:t>
      </w:r>
      <w:r w:rsidRPr="00C34111">
        <w:rPr>
          <w:rFonts w:asciiTheme="minorHAnsi" w:hAnsiTheme="minorHAnsi" w:cstheme="minorHAnsi"/>
        </w:rPr>
        <w:t>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>Por fim</w:t>
      </w:r>
      <w:r>
        <w:rPr>
          <w:rFonts w:asciiTheme="minorHAnsi" w:hAnsiTheme="minorHAnsi" w:cstheme="minorHAnsi"/>
          <w:color w:val="000000" w:themeColor="text1"/>
        </w:rPr>
        <w:t>,</w:t>
      </w:r>
      <w:r w:rsidRPr="00C3411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7E7704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4F2C0D" w:rsidR="004F2C0D">
        <w:rPr>
          <w:rFonts w:asciiTheme="minorHAnsi" w:hAnsiTheme="minorHAnsi" w:cstheme="minorHAnsi"/>
          <w:color w:val="000000"/>
          <w:u w:val="single"/>
        </w:rPr>
        <w:t>opinamos pela</w:t>
      </w:r>
      <w:r w:rsidRPr="004F2C0D" w:rsidR="003D0BDE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2907F1" w:rsidR="003D0BDE">
        <w:rPr>
          <w:rFonts w:asciiTheme="minorHAnsi" w:hAnsiTheme="minorHAnsi" w:cstheme="minorHAnsi"/>
          <w:color w:val="000000"/>
          <w:u w:val="single"/>
        </w:rPr>
        <w:t>constitucionalidade</w:t>
      </w:r>
      <w:r w:rsidRPr="002907F1" w:rsidR="00087763">
        <w:rPr>
          <w:rFonts w:asciiTheme="minorHAnsi" w:hAnsiTheme="minorHAnsi" w:cstheme="minorHAnsi"/>
          <w:color w:val="000000"/>
          <w:u w:val="single"/>
        </w:rPr>
        <w:t xml:space="preserve"> e </w:t>
      </w:r>
      <w:r w:rsidRPr="002907F1" w:rsidR="00636BBC">
        <w:rPr>
          <w:rFonts w:asciiTheme="minorHAnsi" w:hAnsiTheme="minorHAnsi" w:cstheme="minorHAnsi"/>
          <w:u w:val="single"/>
        </w:rPr>
        <w:t>legalidade</w:t>
      </w:r>
      <w:r w:rsidR="004F2C0D">
        <w:rPr>
          <w:rFonts w:asciiTheme="minorHAnsi" w:hAnsiTheme="minorHAnsi" w:cstheme="minorHAnsi"/>
          <w:u w:val="single"/>
        </w:rPr>
        <w:t xml:space="preserve"> do projeto</w:t>
      </w:r>
      <w:r w:rsidRPr="00087763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BE432C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BE432C">
        <w:rPr>
          <w:rFonts w:asciiTheme="minorHAnsi" w:hAnsiTheme="minorHAnsi" w:cstheme="minorHAnsi"/>
        </w:rPr>
        <w:t>Procuradoria</w:t>
      </w:r>
      <w:r w:rsidRPr="00BE432C" w:rsidR="003B02E8">
        <w:rPr>
          <w:rFonts w:asciiTheme="minorHAnsi" w:hAnsiTheme="minorHAnsi" w:cstheme="minorHAnsi"/>
        </w:rPr>
        <w:t>,</w:t>
      </w:r>
      <w:r w:rsidRPr="00BE432C">
        <w:rPr>
          <w:rFonts w:asciiTheme="minorHAnsi" w:hAnsiTheme="minorHAnsi" w:cstheme="minorHAnsi"/>
        </w:rPr>
        <w:t xml:space="preserve"> </w:t>
      </w:r>
      <w:r w:rsidRPr="00BE432C" w:rsidR="00BE432C">
        <w:rPr>
          <w:rFonts w:asciiTheme="minorHAnsi" w:hAnsiTheme="minorHAnsi" w:cstheme="minorHAnsi"/>
        </w:rPr>
        <w:t>30</w:t>
      </w:r>
      <w:r w:rsidRPr="00BE432C" w:rsidR="00C34111">
        <w:rPr>
          <w:rFonts w:asciiTheme="minorHAnsi" w:hAnsiTheme="minorHAnsi" w:cstheme="minorHAnsi"/>
        </w:rPr>
        <w:t xml:space="preserve"> de </w:t>
      </w:r>
      <w:r w:rsidRPr="00BE432C" w:rsidR="004F2C0D">
        <w:rPr>
          <w:rFonts w:asciiTheme="minorHAnsi" w:hAnsiTheme="minorHAnsi" w:cstheme="minorHAnsi"/>
        </w:rPr>
        <w:t>março</w:t>
      </w:r>
      <w:r w:rsidRPr="00BE432C" w:rsidR="003B02E8">
        <w:rPr>
          <w:rFonts w:asciiTheme="minorHAnsi" w:hAnsiTheme="minorHAnsi" w:cstheme="minorHAnsi"/>
        </w:rPr>
        <w:t xml:space="preserve"> de 202</w:t>
      </w:r>
      <w:r w:rsidRPr="00BE432C" w:rsidR="00BC2ABB">
        <w:rPr>
          <w:rFonts w:asciiTheme="minorHAnsi" w:hAnsiTheme="minorHAnsi" w:cstheme="minorHAnsi"/>
        </w:rPr>
        <w:t>2</w:t>
      </w:r>
      <w:r w:rsidRPr="00BE432C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8"/>
          <w:footerReference w:type="default" r:id="rId9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3D0BDE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0F6284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2907F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4F2C0D" w:rsidRPr="004F2C0D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F2C0D" w:rsidP="00FC3987">
            <w:pPr>
              <w:pStyle w:val="Footer"/>
              <w:jc w:val="right"/>
            </w:pPr>
          </w:p>
          <w:p w:rsidR="00803DD8" w:rsidP="00FC3987">
            <w:pPr>
              <w:pStyle w:val="Footer"/>
              <w:jc w:val="right"/>
            </w:pPr>
          </w:p>
          <w:p w:rsidR="004F2C0D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F2C0D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F2C0D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4F2C0D" w:rsidP="000F6284">
            <w:pPr>
              <w:pStyle w:val="Footer"/>
              <w:ind w:left="-1985" w:right="-313"/>
              <w:jc w:val="center"/>
            </w:pPr>
          </w:p>
          <w:p w:rsidR="004F2C0D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367F0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367F0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F2C0D">
      <w:pPr>
        <w:spacing w:after="0" w:line="240" w:lineRule="auto"/>
      </w:pPr>
      <w:r>
        <w:separator/>
      </w:r>
    </w:p>
  </w:footnote>
  <w:footnote w:type="continuationSeparator" w:id="1">
    <w:p w:rsidR="004F2C0D">
      <w:pPr>
        <w:spacing w:after="0" w:line="240" w:lineRule="auto"/>
      </w:pPr>
      <w:r>
        <w:continuationSeparator/>
      </w:r>
    </w:p>
  </w:footnote>
  <w:footnote w:id="2">
    <w:p w:rsidR="00C001A0" w:rsidRPr="00BE432C" w:rsidP="00272D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56B73">
          <w:rPr>
            <w:rStyle w:val="Hyperlink"/>
          </w:rPr>
          <w:t>https://especiais.plataformamaisbrasil.gov.br/maisbrasil-transferencia-especial-frontend/plano-acao/detalhe/9732/dados-basicos</w:t>
        </w:r>
      </w:hyperlink>
      <w:r>
        <w:rPr>
          <w:rStyle w:val="Hyperlink"/>
        </w:rPr>
        <w:t xml:space="preserve">. </w:t>
      </w:r>
      <w:r w:rsidRPr="00BE432C">
        <w:rPr>
          <w:rStyle w:val="Hyperlink"/>
          <w:color w:val="auto"/>
          <w:u w:val="none"/>
        </w:rPr>
        <w:t>Acesso em 3</w:t>
      </w:r>
      <w:r w:rsidRPr="00BE432C" w:rsidR="00BE432C">
        <w:rPr>
          <w:rStyle w:val="Hyperlink"/>
          <w:color w:val="auto"/>
          <w:u w:val="none"/>
        </w:rPr>
        <w:t>0</w:t>
      </w:r>
      <w:r w:rsidR="00BB49C0">
        <w:rPr>
          <w:rStyle w:val="Hyperlink"/>
          <w:color w:val="auto"/>
          <w:u w:val="none"/>
        </w:rPr>
        <w:t>/03/</w:t>
      </w:r>
      <w:r w:rsidRPr="00BE432C">
        <w:rPr>
          <w:rStyle w:val="Hyperlink"/>
          <w:color w:val="auto"/>
          <w:u w:val="none"/>
        </w:rPr>
        <w:t>2022.</w:t>
      </w:r>
    </w:p>
    <w:p w:rsidR="00272D25" w:rsidRPr="00C001A0" w:rsidP="00272D25">
      <w:pPr>
        <w:pStyle w:val="FootnoteText"/>
        <w:rPr>
          <w:color w:val="FF0000"/>
        </w:rPr>
      </w:pPr>
    </w:p>
    <w:p w:rsidR="00C001A0" w:rsidRPr="00C001A0" w:rsidP="00C001A0">
      <w:pPr>
        <w:pStyle w:val="FootnoteText"/>
        <w:rPr>
          <w:color w:val="FF0000"/>
        </w:rPr>
      </w:pPr>
      <w:hyperlink r:id="rId2" w:history="1">
        <w:r w:rsidRPr="00F56B73" w:rsidR="00272D25">
          <w:rPr>
            <w:rStyle w:val="Hyperlink"/>
          </w:rPr>
          <w:t>https://especiais.plataformamaisbrasil.gov.br/maisbrasil-transferencia-especial-frontend/plano-acao/detalhe/12491/dados-basicos</w:t>
        </w:r>
      </w:hyperlink>
      <w:r>
        <w:rPr>
          <w:rStyle w:val="Hyperlink"/>
        </w:rPr>
        <w:t xml:space="preserve"> </w:t>
      </w:r>
      <w:r w:rsidRPr="00BE432C" w:rsidR="00BE432C">
        <w:rPr>
          <w:rStyle w:val="Hyperlink"/>
          <w:color w:val="auto"/>
          <w:u w:val="none"/>
        </w:rPr>
        <w:t>Acesso em 30</w:t>
      </w:r>
      <w:r w:rsidR="00BB49C0">
        <w:rPr>
          <w:rStyle w:val="Hyperlink"/>
          <w:color w:val="auto"/>
          <w:u w:val="none"/>
        </w:rPr>
        <w:t>/</w:t>
      </w:r>
      <w:r w:rsidRPr="00BE432C">
        <w:rPr>
          <w:rStyle w:val="Hyperlink"/>
          <w:color w:val="auto"/>
          <w:u w:val="none"/>
        </w:rPr>
        <w:t>03</w:t>
      </w:r>
      <w:r w:rsidR="00BB49C0">
        <w:rPr>
          <w:rStyle w:val="Hyperlink"/>
          <w:color w:val="auto"/>
          <w:u w:val="none"/>
        </w:rPr>
        <w:t>/</w:t>
      </w:r>
      <w:r w:rsidRPr="00BE432C">
        <w:rPr>
          <w:rStyle w:val="Hyperlink"/>
          <w:color w:val="auto"/>
          <w:u w:val="none"/>
        </w:rPr>
        <w:t>2022.</w:t>
      </w:r>
    </w:p>
    <w:p w:rsidR="00272D25" w:rsidP="00272D25">
      <w:pPr>
        <w:pStyle w:val="FootnoteText"/>
      </w:pPr>
    </w:p>
    <w:p w:rsidR="00C001A0" w:rsidP="00272D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2C0D" w:rsidP="000F6284">
    <w:pPr>
      <w:pStyle w:val="Header"/>
      <w:jc w:val="center"/>
      <w:rPr>
        <w:b/>
        <w:sz w:val="26"/>
        <w:lang w:val="pt-PT"/>
      </w:rPr>
    </w:pPr>
  </w:p>
  <w:p w:rsidR="004F2C0D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C0D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5354730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220072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023012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F2C0D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414852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005552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F2C0D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F2C0D" w:rsidP="000F628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F2C0D" w:rsidP="000F6284">
    <w:pPr>
      <w:pStyle w:val="Header"/>
    </w:pPr>
  </w:p>
  <w:p w:rsidR="004F2C0D" w:rsidP="006D7024">
    <w:pPr>
      <w:pStyle w:val="Header"/>
    </w:pPr>
  </w:p>
  <w:p w:rsidR="004F2C0D" w:rsidP="006D7024">
    <w:pPr>
      <w:pStyle w:val="Header"/>
    </w:pPr>
  </w:p>
  <w:p w:rsidR="004F2C0D" w:rsidRPr="00824829" w:rsidP="006D702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0F6284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1C4D63"/>
    <w:rsid w:val="0022477A"/>
    <w:rsid w:val="002268B5"/>
    <w:rsid w:val="002324DA"/>
    <w:rsid w:val="002433C5"/>
    <w:rsid w:val="00252ADC"/>
    <w:rsid w:val="00261689"/>
    <w:rsid w:val="0026654A"/>
    <w:rsid w:val="00267382"/>
    <w:rsid w:val="00272D25"/>
    <w:rsid w:val="00287DF9"/>
    <w:rsid w:val="0029011B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17C61"/>
    <w:rsid w:val="00324DAA"/>
    <w:rsid w:val="0036016D"/>
    <w:rsid w:val="00365F07"/>
    <w:rsid w:val="0038135B"/>
    <w:rsid w:val="0039289D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C0D"/>
    <w:rsid w:val="004F2F14"/>
    <w:rsid w:val="00515A76"/>
    <w:rsid w:val="00516A25"/>
    <w:rsid w:val="00521E8D"/>
    <w:rsid w:val="00526E32"/>
    <w:rsid w:val="00526FB6"/>
    <w:rsid w:val="00541851"/>
    <w:rsid w:val="00546E3D"/>
    <w:rsid w:val="0058201A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62B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D453B"/>
    <w:rsid w:val="007D5186"/>
    <w:rsid w:val="007E5326"/>
    <w:rsid w:val="007E6039"/>
    <w:rsid w:val="007E7704"/>
    <w:rsid w:val="007F01A5"/>
    <w:rsid w:val="00803DD8"/>
    <w:rsid w:val="00805EF5"/>
    <w:rsid w:val="00806D16"/>
    <w:rsid w:val="00814806"/>
    <w:rsid w:val="008152AD"/>
    <w:rsid w:val="00824829"/>
    <w:rsid w:val="00834F2B"/>
    <w:rsid w:val="00837714"/>
    <w:rsid w:val="00844764"/>
    <w:rsid w:val="00872C12"/>
    <w:rsid w:val="008831C3"/>
    <w:rsid w:val="008833EF"/>
    <w:rsid w:val="00884663"/>
    <w:rsid w:val="008923E9"/>
    <w:rsid w:val="008A078D"/>
    <w:rsid w:val="008B488E"/>
    <w:rsid w:val="008C03B4"/>
    <w:rsid w:val="008C1C27"/>
    <w:rsid w:val="008C24D7"/>
    <w:rsid w:val="008C51BE"/>
    <w:rsid w:val="008F4CAA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72D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B49C0"/>
    <w:rsid w:val="00BC1BFF"/>
    <w:rsid w:val="00BC2ABB"/>
    <w:rsid w:val="00BC387A"/>
    <w:rsid w:val="00BE432C"/>
    <w:rsid w:val="00BF55F6"/>
    <w:rsid w:val="00C0003E"/>
    <w:rsid w:val="00C001A0"/>
    <w:rsid w:val="00C02E72"/>
    <w:rsid w:val="00C24ABB"/>
    <w:rsid w:val="00C34111"/>
    <w:rsid w:val="00C367F0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20AD6"/>
    <w:rsid w:val="00E307C3"/>
    <w:rsid w:val="00E60FD0"/>
    <w:rsid w:val="00E654B2"/>
    <w:rsid w:val="00E65F4B"/>
    <w:rsid w:val="00E661C5"/>
    <w:rsid w:val="00E67B0A"/>
    <w:rsid w:val="00E7515C"/>
    <w:rsid w:val="00E9216A"/>
    <w:rsid w:val="00E97303"/>
    <w:rsid w:val="00EA0F15"/>
    <w:rsid w:val="00EA1DB6"/>
    <w:rsid w:val="00EB315E"/>
    <w:rsid w:val="00ED1E87"/>
    <w:rsid w:val="00ED612E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56B73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especiais.plataformamaisbrasil.gov.br/maisbrasil-transferencia-especial-frontend/plano-acao/detalhe/9732/dados-basicos" TargetMode="External" /><Relationship Id="rId2" Type="http://schemas.openxmlformats.org/officeDocument/2006/relationships/hyperlink" Target="https://especiais.plataformamaisbrasil.gov.br/maisbrasil-transferencia-especial-frontend/plano-acao/detalhe/12491/dados-basicos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E341-B029-4992-932C-6F88BC9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1760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10</cp:revision>
  <cp:lastPrinted>2021-12-03T16:31:00Z</cp:lastPrinted>
  <dcterms:created xsi:type="dcterms:W3CDTF">2022-03-29T13:09:00Z</dcterms:created>
  <dcterms:modified xsi:type="dcterms:W3CDTF">2022-03-31T14:09:00Z</dcterms:modified>
</cp:coreProperties>
</file>