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008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BC7B23" w:rsidRPr="00AA60D6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421447">
        <w:rPr>
          <w:rFonts w:asciiTheme="minorHAnsi" w:hAnsiTheme="minorHAnsi" w:cstheme="minorHAnsi"/>
          <w:b/>
          <w:color w:val="auto"/>
        </w:rPr>
        <w:t>Parecer J</w:t>
      </w:r>
      <w:r>
        <w:rPr>
          <w:rFonts w:asciiTheme="minorHAnsi" w:hAnsiTheme="minorHAnsi" w:cstheme="minorHAnsi"/>
          <w:b/>
          <w:color w:val="auto"/>
        </w:rPr>
        <w:t>urídico</w:t>
      </w:r>
      <w:r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AE0522">
        <w:rPr>
          <w:rFonts w:asciiTheme="minorHAnsi" w:hAnsiTheme="minorHAnsi" w:cstheme="minorHAnsi"/>
          <w:b/>
          <w:color w:val="auto"/>
        </w:rPr>
        <w:t>101</w:t>
      </w:r>
      <w:r w:rsidRPr="00421447">
        <w:rPr>
          <w:rFonts w:asciiTheme="minorHAnsi" w:hAnsiTheme="minorHAnsi" w:cstheme="minorHAnsi"/>
          <w:b/>
          <w:color w:val="auto"/>
        </w:rPr>
        <w:t>/20</w:t>
      </w:r>
      <w:r>
        <w:rPr>
          <w:rFonts w:asciiTheme="minorHAnsi" w:hAnsiTheme="minorHAnsi" w:cstheme="minorHAnsi"/>
          <w:b/>
          <w:color w:val="auto"/>
        </w:rPr>
        <w:t>2</w:t>
      </w:r>
      <w:r w:rsidR="002712E9">
        <w:rPr>
          <w:rFonts w:asciiTheme="minorHAnsi" w:hAnsiTheme="minorHAnsi" w:cstheme="minorHAnsi"/>
          <w:b/>
          <w:color w:val="auto"/>
        </w:rPr>
        <w:t>2</w:t>
      </w:r>
    </w:p>
    <w:p w:rsidR="00AE0522" w:rsidRPr="005A6B0F" w:rsidP="006868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Projeto de Lei nº </w:t>
      </w:r>
      <w:r w:rsidR="00B8195A">
        <w:rPr>
          <w:rFonts w:asciiTheme="minorHAnsi" w:hAnsiTheme="minorHAnsi" w:cstheme="minorHAnsi"/>
          <w:b/>
          <w:bCs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96AE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163D7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E0522">
        <w:rPr>
          <w:rFonts w:asciiTheme="minorHAnsi" w:hAnsiTheme="minorHAnsi" w:cstheme="minorHAnsi"/>
          <w:bCs/>
          <w:sz w:val="24"/>
          <w:szCs w:val="24"/>
        </w:rPr>
        <w:t xml:space="preserve">Denomina </w:t>
      </w:r>
      <w:r w:rsidRPr="005A6B0F" w:rsidR="005A6B0F">
        <w:rPr>
          <w:rFonts w:asciiTheme="minorHAnsi" w:hAnsiTheme="minorHAnsi" w:cstheme="minorHAnsi"/>
          <w:bCs/>
          <w:sz w:val="24"/>
          <w:szCs w:val="24"/>
        </w:rPr>
        <w:t xml:space="preserve">Roberto </w:t>
      </w:r>
      <w:r w:rsidRPr="005A6B0F" w:rsidR="005A6B0F">
        <w:rPr>
          <w:rFonts w:asciiTheme="minorHAnsi" w:hAnsiTheme="minorHAnsi" w:cstheme="minorHAnsi"/>
          <w:bCs/>
          <w:sz w:val="24"/>
          <w:szCs w:val="24"/>
        </w:rPr>
        <w:t>Morasi</w:t>
      </w:r>
      <w:r w:rsidRPr="005A6B0F" w:rsidR="005A6B0F">
        <w:rPr>
          <w:rFonts w:asciiTheme="minorHAnsi" w:hAnsiTheme="minorHAnsi" w:cstheme="minorHAnsi"/>
          <w:bCs/>
          <w:sz w:val="24"/>
          <w:szCs w:val="24"/>
        </w:rPr>
        <w:t xml:space="preserve"> “BERTINHO” </w:t>
      </w:r>
      <w:r w:rsidRPr="00AE0522">
        <w:rPr>
          <w:rFonts w:asciiTheme="minorHAnsi" w:hAnsiTheme="minorHAnsi" w:cstheme="minorHAnsi"/>
          <w:bCs/>
          <w:sz w:val="24"/>
          <w:szCs w:val="24"/>
        </w:rPr>
        <w:t xml:space="preserve">a Rua </w:t>
      </w:r>
      <w:r w:rsidRPr="00AE0522">
        <w:rPr>
          <w:rFonts w:asciiTheme="minorHAnsi" w:hAnsiTheme="minorHAnsi" w:cstheme="minorHAnsi"/>
          <w:bCs/>
          <w:sz w:val="24"/>
          <w:szCs w:val="24"/>
        </w:rPr>
        <w:t>5</w:t>
      </w:r>
      <w:r w:rsidRPr="00AE0522"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5A6B0F">
        <w:rPr>
          <w:rFonts w:asciiTheme="minorHAnsi" w:hAnsiTheme="minorHAnsi" w:cstheme="minorHAnsi"/>
          <w:bCs/>
          <w:sz w:val="24"/>
          <w:szCs w:val="24"/>
        </w:rPr>
        <w:t>o Loteamento Colline de Parma, B</w:t>
      </w:r>
      <w:r w:rsidRPr="00AE0522">
        <w:rPr>
          <w:rFonts w:asciiTheme="minorHAnsi" w:hAnsiTheme="minorHAnsi" w:cstheme="minorHAnsi"/>
          <w:bCs/>
          <w:sz w:val="24"/>
          <w:szCs w:val="24"/>
        </w:rPr>
        <w:t>airro Capuava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B8195A" w:rsidR="00B8195A">
        <w:rPr>
          <w:rFonts w:asciiTheme="minorHAnsi" w:hAnsiTheme="minorHAnsi" w:cstheme="minorHAnsi"/>
          <w:bCs/>
          <w:sz w:val="24"/>
          <w:szCs w:val="24"/>
        </w:rPr>
        <w:t>–</w:t>
      </w:r>
      <w:r w:rsidRPr="00AA60D6"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 Autoria </w:t>
      </w:r>
      <w:r w:rsidR="00B8195A">
        <w:rPr>
          <w:rFonts w:asciiTheme="minorHAnsi" w:hAnsiTheme="minorHAnsi" w:cstheme="minorHAnsi"/>
          <w:b/>
          <w:bCs/>
          <w:sz w:val="24"/>
          <w:szCs w:val="24"/>
        </w:rPr>
        <w:t xml:space="preserve">do Vereador </w:t>
      </w:r>
      <w:r w:rsidRPr="00AE0522">
        <w:rPr>
          <w:rFonts w:asciiTheme="minorHAnsi" w:hAnsiTheme="minorHAnsi" w:cstheme="minorHAnsi"/>
          <w:b/>
          <w:bCs/>
          <w:sz w:val="24"/>
          <w:szCs w:val="24"/>
        </w:rPr>
        <w:t>Edinho Garcia</w:t>
      </w:r>
    </w:p>
    <w:p w:rsidR="00B8195A" w:rsidRPr="0068682D" w:rsidP="0068682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8682D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AE0522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AE0522" w:rsidRPr="00F923D1" w:rsidP="00AE0522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712E9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 w:rsidR="0068682D">
        <w:rPr>
          <w:rFonts w:asciiTheme="minorHAnsi" w:hAnsiTheme="minorHAnsi" w:cstheme="minorHAnsi"/>
          <w:sz w:val="24"/>
          <w:szCs w:val="24"/>
        </w:rPr>
        <w:t xml:space="preserve"> </w:t>
      </w:r>
      <w:r w:rsidRPr="00F923D1">
        <w:rPr>
          <w:rFonts w:asciiTheme="minorHAnsi" w:hAnsiTheme="minorHAnsi" w:cstheme="minorHAnsi"/>
          <w:bCs/>
          <w:i/>
          <w:sz w:val="24"/>
          <w:szCs w:val="24"/>
        </w:rPr>
        <w:t>“</w:t>
      </w:r>
      <w:r w:rsidRPr="00F923D1" w:rsidR="00F923D1">
        <w:rPr>
          <w:rFonts w:asciiTheme="minorHAnsi" w:hAnsiTheme="minorHAnsi" w:cstheme="minorHAnsi"/>
          <w:bCs/>
          <w:i/>
          <w:sz w:val="24"/>
          <w:szCs w:val="24"/>
        </w:rPr>
        <w:t xml:space="preserve">Denomina Roberto </w:t>
      </w:r>
      <w:r w:rsidRPr="00F923D1" w:rsidR="00F923D1">
        <w:rPr>
          <w:rFonts w:asciiTheme="minorHAnsi" w:hAnsiTheme="minorHAnsi" w:cstheme="minorHAnsi"/>
          <w:bCs/>
          <w:i/>
          <w:sz w:val="24"/>
          <w:szCs w:val="24"/>
        </w:rPr>
        <w:t>Morasi</w:t>
      </w:r>
      <w:r w:rsidRPr="00F923D1" w:rsidR="00F923D1">
        <w:rPr>
          <w:rFonts w:asciiTheme="minorHAnsi" w:hAnsiTheme="minorHAnsi" w:cstheme="minorHAnsi"/>
          <w:bCs/>
          <w:i/>
          <w:sz w:val="24"/>
          <w:szCs w:val="24"/>
        </w:rPr>
        <w:t xml:space="preserve"> “BERTINHO” a Rua </w:t>
      </w:r>
      <w:r w:rsidRPr="00F923D1" w:rsidR="00F923D1">
        <w:rPr>
          <w:rFonts w:asciiTheme="minorHAnsi" w:hAnsiTheme="minorHAnsi" w:cstheme="minorHAnsi"/>
          <w:bCs/>
          <w:i/>
          <w:sz w:val="24"/>
          <w:szCs w:val="24"/>
        </w:rPr>
        <w:t>5</w:t>
      </w:r>
      <w:r w:rsidRPr="00F923D1" w:rsidR="00F923D1">
        <w:rPr>
          <w:rFonts w:asciiTheme="minorHAnsi" w:hAnsiTheme="minorHAnsi" w:cstheme="minorHAnsi"/>
          <w:bCs/>
          <w:i/>
          <w:sz w:val="24"/>
          <w:szCs w:val="24"/>
        </w:rPr>
        <w:t xml:space="preserve"> do Loteamento Colline de Parma, Bairro Capuava</w:t>
      </w:r>
      <w:r w:rsidRPr="00F923D1">
        <w:rPr>
          <w:rFonts w:asciiTheme="minorHAnsi" w:hAnsiTheme="minorHAnsi" w:cstheme="minorHAnsi"/>
          <w:bCs/>
          <w:i/>
          <w:sz w:val="24"/>
          <w:szCs w:val="24"/>
        </w:rPr>
        <w:t>”.</w:t>
      </w:r>
      <w:bookmarkStart w:id="0" w:name="_GoBack"/>
      <w:bookmarkEnd w:id="0"/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11121D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="0011121D">
        <w:rPr>
          <w:rFonts w:asciiTheme="minorHAnsi" w:hAnsiTheme="minorHAnsi" w:cstheme="minorHAnsi"/>
          <w:sz w:val="24"/>
          <w:szCs w:val="24"/>
        </w:rPr>
        <w:t xml:space="preserve"> </w:t>
      </w:r>
      <w:r w:rsidRPr="0011121D">
        <w:rPr>
          <w:rFonts w:asciiTheme="minorHAnsi" w:hAnsiTheme="minorHAnsi" w:cstheme="minorHAnsi"/>
          <w:sz w:val="24"/>
          <w:szCs w:val="24"/>
        </w:rPr>
        <w:t xml:space="preserve">Nesse sentido é o entendimento do Supremo Tribunal Federal: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492D99" w:rsidP="00BC7B23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BC7B23" w:rsidRPr="00434A5E" w:rsidP="00492D99">
      <w:pPr>
        <w:tabs>
          <w:tab w:val="left" w:pos="1701"/>
          <w:tab w:val="left" w:pos="2268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34A5E">
        <w:rPr>
          <w:rFonts w:asciiTheme="minorHAnsi" w:hAnsiTheme="minorHAnsi" w:cstheme="minorHAnsi"/>
          <w:sz w:val="24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 w:val="24"/>
          <w:szCs w:val="24"/>
        </w:rPr>
        <w:t>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§ 2º. O autor do projeto de denominação de logradouro público terá que obedecer ao prazo de trinta dias entre uma e outra 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EA41C7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EA41C7">
        <w:rPr>
          <w:rFonts w:asciiTheme="minorHAnsi" w:hAnsiTheme="minorHAnsi" w:cstheme="minorHAnsi"/>
          <w:sz w:val="24"/>
          <w:szCs w:val="24"/>
          <w:u w:val="single"/>
        </w:rPr>
        <w:t>Consta do processo legislativo o parecer da Comissão de Cultura, Denominação de Logradouros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Públicos e Assistência Social que realizou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a verificação dos requisitos legais nos termos do § 1º, art. 41,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conceituação, refere-se àqueles 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municípios, à qual cabe o importante papel de </w:t>
      </w:r>
      <w:r w:rsidRPr="00821921">
        <w:rPr>
          <w:rFonts w:asciiTheme="minorHAnsi" w:hAnsiTheme="minorHAnsi"/>
          <w:i/>
          <w:sz w:val="22"/>
          <w:szCs w:val="22"/>
        </w:rPr>
        <w:t>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(decreto) e Legislativo (lei formal) a competência destinada a denominação de próprios, vias e logradouros públicos e suas alterações, cada qual no âmbito de suas atribuições". Não participou, justificadamente, deste julgamento, a Ministra </w:t>
      </w:r>
      <w:r w:rsidRPr="004A372A">
        <w:rPr>
          <w:rFonts w:asciiTheme="minorHAnsi" w:hAnsiTheme="minorHAnsi"/>
          <w:i/>
          <w:sz w:val="22"/>
          <w:szCs w:val="22"/>
        </w:rPr>
        <w:t xml:space="preserve">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</w:t>
      </w:r>
      <w:r w:rsidR="00492D99">
        <w:rPr>
          <w:rFonts w:asciiTheme="minorHAnsi" w:hAnsiTheme="minorHAnsi"/>
          <w:i/>
          <w:sz w:val="22"/>
          <w:szCs w:val="22"/>
        </w:rPr>
        <w:t>–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492D99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D33B2B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492D99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492D99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BB1719">
        <w:rPr>
          <w:rFonts w:ascii="Calibri" w:eastAsia="Calibri" w:hAnsi="Calibri" w:cs="Calibr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421447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Procuradoria</w:t>
      </w:r>
      <w:r w:rsidRPr="00421447">
        <w:rPr>
          <w:rFonts w:asciiTheme="minorHAnsi" w:hAnsiTheme="minorHAnsi" w:cstheme="minorHAnsi"/>
          <w:szCs w:val="24"/>
        </w:rPr>
        <w:t xml:space="preserve">, aos </w:t>
      </w:r>
      <w:r w:rsidR="00AE0522">
        <w:rPr>
          <w:rFonts w:asciiTheme="minorHAnsi" w:hAnsiTheme="minorHAnsi" w:cstheme="minorHAnsi"/>
          <w:szCs w:val="24"/>
        </w:rPr>
        <w:t>23</w:t>
      </w:r>
      <w:r w:rsidRPr="00290365" w:rsidR="00F90F1A">
        <w:rPr>
          <w:rFonts w:asciiTheme="minorHAnsi" w:hAnsiTheme="minorHAnsi" w:cstheme="minorHAnsi"/>
          <w:szCs w:val="24"/>
        </w:rPr>
        <w:t xml:space="preserve"> </w:t>
      </w:r>
      <w:r w:rsidRPr="00290365" w:rsidR="005B3FBC">
        <w:rPr>
          <w:rFonts w:asciiTheme="minorHAnsi" w:hAnsiTheme="minorHAnsi" w:cstheme="minorHAnsi"/>
          <w:szCs w:val="24"/>
        </w:rPr>
        <w:t xml:space="preserve">de </w:t>
      </w:r>
      <w:r w:rsidR="0068682D">
        <w:rPr>
          <w:rFonts w:asciiTheme="minorHAnsi" w:hAnsiTheme="minorHAnsi" w:cstheme="minorHAnsi"/>
          <w:szCs w:val="24"/>
        </w:rPr>
        <w:t>março</w:t>
      </w:r>
      <w:r w:rsidR="00BB1719">
        <w:rPr>
          <w:rFonts w:asciiTheme="minorHAnsi" w:hAnsiTheme="minorHAnsi" w:cstheme="minorHAnsi"/>
          <w:szCs w:val="24"/>
        </w:rPr>
        <w:t xml:space="preserve"> </w:t>
      </w:r>
      <w:r w:rsidRPr="00290365">
        <w:rPr>
          <w:rFonts w:asciiTheme="minorHAnsi" w:hAnsiTheme="minorHAnsi" w:cstheme="minorHAnsi"/>
          <w:szCs w:val="24"/>
        </w:rPr>
        <w:t>de 202</w:t>
      </w:r>
      <w:r w:rsidR="00BB1719">
        <w:rPr>
          <w:rFonts w:asciiTheme="minorHAnsi" w:hAnsiTheme="minorHAnsi" w:cstheme="minorHAnsi"/>
          <w:szCs w:val="24"/>
        </w:rPr>
        <w:t>2</w:t>
      </w:r>
      <w:r w:rsidRPr="00290365">
        <w:rPr>
          <w:rFonts w:asciiTheme="minorHAnsi" w:hAnsiTheme="minorHAnsi" w:cstheme="minorHAnsi"/>
          <w:szCs w:val="24"/>
        </w:rPr>
        <w:t>.</w:t>
      </w: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BC7B23" w:rsidRPr="0041009B" w:rsidP="00BC7B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225B"/>
    <w:p w:rsidR="006E0843"/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8195A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8195A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8195A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B8195A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923D1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923D1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8195A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95A" w:rsidP="00496AE3">
    <w:pPr>
      <w:pStyle w:val="Header"/>
      <w:jc w:val="center"/>
      <w:rPr>
        <w:b/>
        <w:sz w:val="26"/>
        <w:lang w:val="pt-PT"/>
      </w:rPr>
    </w:pPr>
  </w:p>
  <w:p w:rsidR="00B8195A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5A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9071080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826850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09548022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749685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8195A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8195A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D4061"/>
    <w:rsid w:val="000E5C8F"/>
    <w:rsid w:val="00102C41"/>
    <w:rsid w:val="0011121D"/>
    <w:rsid w:val="001A6A6D"/>
    <w:rsid w:val="00240EE3"/>
    <w:rsid w:val="002712E9"/>
    <w:rsid w:val="00290365"/>
    <w:rsid w:val="002B756F"/>
    <w:rsid w:val="00385030"/>
    <w:rsid w:val="00386B56"/>
    <w:rsid w:val="0039714D"/>
    <w:rsid w:val="003A419C"/>
    <w:rsid w:val="0041009B"/>
    <w:rsid w:val="00421447"/>
    <w:rsid w:val="00434A5E"/>
    <w:rsid w:val="00492D99"/>
    <w:rsid w:val="00496AE3"/>
    <w:rsid w:val="004A372A"/>
    <w:rsid w:val="0053705A"/>
    <w:rsid w:val="005A6B0F"/>
    <w:rsid w:val="005B3FBC"/>
    <w:rsid w:val="005B411E"/>
    <w:rsid w:val="005C225B"/>
    <w:rsid w:val="005F5B0F"/>
    <w:rsid w:val="006714AD"/>
    <w:rsid w:val="0068682D"/>
    <w:rsid w:val="006879F6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21921"/>
    <w:rsid w:val="00891543"/>
    <w:rsid w:val="008E6DA9"/>
    <w:rsid w:val="00910C59"/>
    <w:rsid w:val="00913125"/>
    <w:rsid w:val="00986304"/>
    <w:rsid w:val="009D07C3"/>
    <w:rsid w:val="00A42EB0"/>
    <w:rsid w:val="00A66B2B"/>
    <w:rsid w:val="00AA60D6"/>
    <w:rsid w:val="00AE0522"/>
    <w:rsid w:val="00AF63BE"/>
    <w:rsid w:val="00B16224"/>
    <w:rsid w:val="00B8195A"/>
    <w:rsid w:val="00BB12A6"/>
    <w:rsid w:val="00BB1719"/>
    <w:rsid w:val="00BC7B23"/>
    <w:rsid w:val="00C0082F"/>
    <w:rsid w:val="00C17B4E"/>
    <w:rsid w:val="00CC028B"/>
    <w:rsid w:val="00D33B2B"/>
    <w:rsid w:val="00D614DE"/>
    <w:rsid w:val="00DE623B"/>
    <w:rsid w:val="00E66BD6"/>
    <w:rsid w:val="00EA3220"/>
    <w:rsid w:val="00EA41C7"/>
    <w:rsid w:val="00F53BEF"/>
    <w:rsid w:val="00F6243C"/>
    <w:rsid w:val="00F90F1A"/>
    <w:rsid w:val="00F923D1"/>
    <w:rsid w:val="00FA055F"/>
    <w:rsid w:val="00FD2D0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1974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6</cp:revision>
  <cp:lastPrinted>2022-02-08T14:06:00Z</cp:lastPrinted>
  <dcterms:created xsi:type="dcterms:W3CDTF">2022-03-23T16:35:00Z</dcterms:created>
  <dcterms:modified xsi:type="dcterms:W3CDTF">2022-03-23T16:41:00Z</dcterms:modified>
</cp:coreProperties>
</file>