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34111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Parecer </w:t>
      </w:r>
      <w:r w:rsidRPr="00C34111">
        <w:rPr>
          <w:rFonts w:asciiTheme="minorHAnsi" w:hAnsiTheme="minorHAnsi" w:cstheme="minorHAnsi"/>
          <w:b/>
          <w:color w:val="auto"/>
        </w:rPr>
        <w:t>J</w:t>
      </w:r>
      <w:r w:rsidRPr="00C34111">
        <w:rPr>
          <w:rFonts w:asciiTheme="minorHAnsi" w:hAnsiTheme="minorHAnsi" w:cstheme="minorHAnsi"/>
          <w:b/>
          <w:color w:val="auto"/>
        </w:rPr>
        <w:t>urídico</w:t>
      </w:r>
      <w:r w:rsidRPr="00C34111">
        <w:rPr>
          <w:rFonts w:asciiTheme="minorHAnsi" w:hAnsiTheme="minorHAnsi" w:cstheme="minorHAnsi"/>
          <w:b/>
          <w:color w:val="auto"/>
        </w:rPr>
        <w:t xml:space="preserve"> nº</w:t>
      </w:r>
      <w:r w:rsidRPr="00C34111">
        <w:rPr>
          <w:rFonts w:asciiTheme="minorHAnsi" w:hAnsiTheme="minorHAnsi" w:cstheme="minorHAnsi"/>
          <w:b/>
          <w:color w:val="auto"/>
        </w:rPr>
        <w:t xml:space="preserve"> </w:t>
      </w:r>
      <w:r w:rsidR="00066330">
        <w:rPr>
          <w:rFonts w:asciiTheme="minorHAnsi" w:hAnsiTheme="minorHAnsi" w:cstheme="minorHAnsi"/>
          <w:b/>
          <w:color w:val="auto"/>
        </w:rPr>
        <w:t>023</w:t>
      </w:r>
      <w:r w:rsidRPr="00C34111" w:rsidR="000E086D">
        <w:rPr>
          <w:rFonts w:asciiTheme="minorHAnsi" w:hAnsiTheme="minorHAnsi" w:cstheme="minorHAnsi"/>
          <w:b/>
          <w:color w:val="auto"/>
        </w:rPr>
        <w:t>/202</w:t>
      </w:r>
      <w:r w:rsidR="00557B7F">
        <w:rPr>
          <w:rFonts w:asciiTheme="minorHAnsi" w:hAnsiTheme="minorHAnsi" w:cstheme="minorHAnsi"/>
          <w:b/>
          <w:color w:val="auto"/>
        </w:rPr>
        <w:t>2</w:t>
      </w:r>
      <w:r w:rsidRPr="00C34111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RPr="00066330" w:rsidP="00D344F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4111">
        <w:rPr>
          <w:rFonts w:asciiTheme="minorHAnsi" w:hAnsiTheme="minorHAnsi" w:cstheme="minorHAnsi"/>
          <w:b/>
        </w:rPr>
        <w:t>Assunto:</w:t>
      </w:r>
      <w:r w:rsidRPr="00C34111">
        <w:rPr>
          <w:rFonts w:asciiTheme="minorHAnsi" w:hAnsiTheme="minorHAnsi" w:cstheme="minorHAnsi"/>
        </w:rPr>
        <w:t xml:space="preserve"> </w:t>
      </w:r>
      <w:r w:rsidRPr="00066330">
        <w:rPr>
          <w:rFonts w:asciiTheme="minorHAnsi" w:hAnsiTheme="minorHAnsi" w:cstheme="minorHAnsi"/>
          <w:b/>
        </w:rPr>
        <w:t>Projeto de Lei nº</w:t>
      </w:r>
      <w:r w:rsidRPr="00066330" w:rsidR="00CF7799">
        <w:rPr>
          <w:rFonts w:asciiTheme="minorHAnsi" w:hAnsiTheme="minorHAnsi" w:cstheme="minorHAnsi"/>
          <w:b/>
        </w:rPr>
        <w:t xml:space="preserve"> </w:t>
      </w:r>
      <w:r w:rsidRPr="00066330" w:rsidR="00557B7F">
        <w:rPr>
          <w:rFonts w:asciiTheme="minorHAnsi" w:hAnsiTheme="minorHAnsi" w:cstheme="minorHAnsi"/>
          <w:b/>
        </w:rPr>
        <w:t>1</w:t>
      </w:r>
      <w:r w:rsidRPr="00066330" w:rsidR="007C041F">
        <w:rPr>
          <w:rFonts w:asciiTheme="minorHAnsi" w:hAnsiTheme="minorHAnsi" w:cstheme="minorHAnsi"/>
          <w:b/>
        </w:rPr>
        <w:t>1</w:t>
      </w:r>
      <w:r w:rsidRPr="00066330" w:rsidR="00557B7F">
        <w:rPr>
          <w:rFonts w:asciiTheme="minorHAnsi" w:hAnsiTheme="minorHAnsi" w:cstheme="minorHAnsi"/>
          <w:b/>
        </w:rPr>
        <w:t>/2022</w:t>
      </w:r>
      <w:r w:rsidRPr="00066330">
        <w:rPr>
          <w:rFonts w:asciiTheme="minorHAnsi" w:hAnsiTheme="minorHAnsi" w:cstheme="minorHAnsi"/>
          <w:b/>
        </w:rPr>
        <w:t xml:space="preserve"> – Autoria do </w:t>
      </w:r>
      <w:r w:rsidRPr="00066330" w:rsidR="00031E27">
        <w:rPr>
          <w:rFonts w:asciiTheme="minorHAnsi" w:hAnsiTheme="minorHAnsi" w:cstheme="minorHAnsi"/>
          <w:b/>
        </w:rPr>
        <w:t>Poder Executivo</w:t>
      </w:r>
      <w:r w:rsidRPr="00066330" w:rsidR="00402E15">
        <w:rPr>
          <w:rFonts w:asciiTheme="minorHAnsi" w:hAnsiTheme="minorHAnsi" w:cstheme="minorHAnsi"/>
          <w:b/>
        </w:rPr>
        <w:t xml:space="preserve"> </w:t>
      </w:r>
      <w:r w:rsidRPr="00066330">
        <w:rPr>
          <w:rFonts w:asciiTheme="minorHAnsi" w:hAnsiTheme="minorHAnsi" w:cstheme="minorHAnsi"/>
          <w:b/>
        </w:rPr>
        <w:t>–</w:t>
      </w:r>
      <w:r w:rsidRPr="00066330" w:rsidR="00F0163A">
        <w:rPr>
          <w:rFonts w:asciiTheme="minorHAnsi" w:hAnsiTheme="minorHAnsi" w:cstheme="minorHAnsi"/>
          <w:b/>
        </w:rPr>
        <w:t xml:space="preserve"> Dispõe sobre autorização para a abertura de crédito adicional suplementar, até o valor de </w:t>
      </w:r>
      <w:r w:rsidRPr="00066330" w:rsidR="00C34111">
        <w:rPr>
          <w:rFonts w:asciiTheme="minorHAnsi" w:hAnsiTheme="minorHAnsi" w:cstheme="minorHAnsi"/>
          <w:b/>
        </w:rPr>
        <w:t>R$</w:t>
      </w:r>
      <w:r w:rsidRPr="00066330" w:rsidR="00557B7F">
        <w:rPr>
          <w:rFonts w:asciiTheme="minorHAnsi" w:hAnsiTheme="minorHAnsi" w:cstheme="minorHAnsi"/>
          <w:b/>
        </w:rPr>
        <w:t xml:space="preserve"> </w:t>
      </w:r>
      <w:r w:rsidRPr="00066330" w:rsidR="007C041F">
        <w:rPr>
          <w:rFonts w:asciiTheme="minorHAnsi" w:hAnsiTheme="minorHAnsi" w:cstheme="minorHAnsi"/>
          <w:b/>
        </w:rPr>
        <w:t>567.876,30</w:t>
      </w:r>
      <w:r w:rsidRPr="00066330" w:rsidR="00CF7799">
        <w:rPr>
          <w:rFonts w:asciiTheme="minorHAnsi" w:hAnsiTheme="minorHAnsi" w:cstheme="minorHAnsi"/>
          <w:b/>
        </w:rPr>
        <w:t>-</w:t>
      </w:r>
      <w:r w:rsidRPr="00066330" w:rsidR="002B1985">
        <w:rPr>
          <w:rFonts w:asciiTheme="minorHAnsi" w:hAnsiTheme="minorHAnsi" w:cstheme="minorHAnsi"/>
          <w:b/>
        </w:rPr>
        <w:t xml:space="preserve"> </w:t>
      </w:r>
      <w:r w:rsidRPr="00066330">
        <w:rPr>
          <w:rFonts w:asciiTheme="minorHAnsi" w:hAnsiTheme="minorHAnsi" w:cstheme="minorHAnsi"/>
          <w:b/>
        </w:rPr>
        <w:t>Mens</w:t>
      </w:r>
      <w:r w:rsidRPr="00066330" w:rsidR="00EA0F15">
        <w:rPr>
          <w:rFonts w:asciiTheme="minorHAnsi" w:hAnsiTheme="minorHAnsi" w:cstheme="minorHAnsi"/>
          <w:b/>
        </w:rPr>
        <w:t>agem</w:t>
      </w:r>
      <w:r w:rsidRPr="00066330">
        <w:rPr>
          <w:rFonts w:asciiTheme="minorHAnsi" w:hAnsiTheme="minorHAnsi" w:cstheme="minorHAnsi"/>
          <w:b/>
        </w:rPr>
        <w:t xml:space="preserve"> nº </w:t>
      </w:r>
      <w:r w:rsidRPr="00066330" w:rsidR="00C34111">
        <w:rPr>
          <w:rFonts w:asciiTheme="minorHAnsi" w:hAnsiTheme="minorHAnsi" w:cstheme="minorHAnsi"/>
          <w:b/>
        </w:rPr>
        <w:t>0</w:t>
      </w:r>
      <w:r w:rsidRPr="00066330" w:rsidR="007C041F">
        <w:rPr>
          <w:rFonts w:asciiTheme="minorHAnsi" w:hAnsiTheme="minorHAnsi" w:cstheme="minorHAnsi"/>
          <w:b/>
        </w:rPr>
        <w:t>7</w:t>
      </w:r>
      <w:r w:rsidRPr="00066330" w:rsidR="0022477A">
        <w:rPr>
          <w:rFonts w:asciiTheme="minorHAnsi" w:hAnsiTheme="minorHAnsi" w:cstheme="minorHAnsi"/>
          <w:b/>
        </w:rPr>
        <w:t>/</w:t>
      </w:r>
      <w:r w:rsidRPr="00066330" w:rsidR="002B1985">
        <w:rPr>
          <w:rFonts w:asciiTheme="minorHAnsi" w:hAnsiTheme="minorHAnsi" w:cstheme="minorHAnsi"/>
          <w:b/>
        </w:rPr>
        <w:t>20</w:t>
      </w:r>
      <w:r w:rsidRPr="00066330" w:rsidR="00557B7F">
        <w:rPr>
          <w:rFonts w:asciiTheme="minorHAnsi" w:hAnsiTheme="minorHAnsi" w:cstheme="minorHAnsi"/>
          <w:b/>
        </w:rPr>
        <w:t>22</w:t>
      </w:r>
      <w:r w:rsidRPr="00066330">
        <w:rPr>
          <w:rFonts w:asciiTheme="minorHAnsi" w:hAnsiTheme="minorHAnsi" w:cstheme="minorHAnsi"/>
          <w:b/>
        </w:rPr>
        <w:t>.</w:t>
      </w:r>
    </w:p>
    <w:p w:rsidR="0090054E" w:rsidRPr="00066330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D344FF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bookmarkStart w:id="0" w:name="_GoBack"/>
      <w:bookmarkEnd w:id="0"/>
    </w:p>
    <w:p w:rsidR="0088779B" w:rsidP="00CB369D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D344FF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7C041F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7C041F" w:rsidP="00F0163A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22477A">
        <w:rPr>
          <w:rFonts w:asciiTheme="minorHAnsi" w:hAnsiTheme="minorHAnsi" w:cstheme="minorHAnsi"/>
          <w:color w:val="auto"/>
        </w:rPr>
        <w:t>Trata-se de</w:t>
      </w:r>
      <w:r w:rsidRPr="00C34111">
        <w:rPr>
          <w:rFonts w:asciiTheme="minorHAnsi" w:hAnsiTheme="minorHAnsi" w:cstheme="minorHAnsi"/>
          <w:color w:val="auto"/>
        </w:rPr>
        <w:t xml:space="preserve"> parecer jurídico relativo ao p</w:t>
      </w:r>
      <w:r w:rsidRPr="00C34111" w:rsidR="00EA0F15">
        <w:rPr>
          <w:rFonts w:asciiTheme="minorHAnsi" w:hAnsiTheme="minorHAnsi" w:cstheme="minorHAnsi"/>
          <w:color w:val="auto"/>
        </w:rPr>
        <w:t xml:space="preserve">rojeto </w:t>
      </w:r>
      <w:r w:rsidRPr="00C34111">
        <w:rPr>
          <w:rFonts w:asciiTheme="minorHAnsi" w:hAnsiTheme="minorHAnsi" w:cstheme="minorHAnsi"/>
          <w:color w:val="auto"/>
        </w:rPr>
        <w:t>de lei em</w:t>
      </w:r>
      <w:r w:rsidRPr="00C34111" w:rsidR="00EA0F15">
        <w:rPr>
          <w:rFonts w:asciiTheme="minorHAnsi" w:hAnsiTheme="minorHAnsi" w:cstheme="minorHAnsi"/>
          <w:color w:val="auto"/>
        </w:rPr>
        <w:t xml:space="preserve"> epígrafe</w:t>
      </w:r>
      <w:r w:rsidRPr="00C34111" w:rsidR="006F674F">
        <w:rPr>
          <w:rFonts w:asciiTheme="minorHAnsi" w:hAnsiTheme="minorHAnsi" w:cstheme="minorHAnsi"/>
          <w:color w:val="auto"/>
        </w:rPr>
        <w:t xml:space="preserve"> de autoria d</w:t>
      </w:r>
      <w:r w:rsidRPr="00C34111" w:rsidR="00F0163A">
        <w:rPr>
          <w:rFonts w:asciiTheme="minorHAnsi" w:hAnsiTheme="minorHAnsi" w:cstheme="minorHAnsi"/>
          <w:color w:val="auto"/>
        </w:rPr>
        <w:t>a</w:t>
      </w:r>
      <w:r w:rsidRPr="00C34111" w:rsidR="006F674F">
        <w:rPr>
          <w:rFonts w:asciiTheme="minorHAnsi" w:hAnsiTheme="minorHAnsi" w:cstheme="minorHAnsi"/>
          <w:color w:val="auto"/>
        </w:rPr>
        <w:t xml:space="preserve"> </w:t>
      </w:r>
      <w:r w:rsidRPr="00C34111" w:rsidR="00F0163A">
        <w:rPr>
          <w:rFonts w:asciiTheme="minorHAnsi" w:hAnsiTheme="minorHAnsi" w:cstheme="minorHAnsi"/>
          <w:color w:val="auto"/>
        </w:rPr>
        <w:t>Prefeita</w:t>
      </w:r>
      <w:r w:rsidRPr="00C34111" w:rsidR="00CB2D83">
        <w:rPr>
          <w:rFonts w:asciiTheme="minorHAnsi" w:hAnsiTheme="minorHAnsi" w:cstheme="minorHAnsi"/>
          <w:color w:val="auto"/>
        </w:rPr>
        <w:t xml:space="preserve"> </w:t>
      </w:r>
      <w:r w:rsidRPr="00C34111" w:rsidR="006F674F">
        <w:rPr>
          <w:rFonts w:asciiTheme="minorHAnsi" w:hAnsiTheme="minorHAnsi" w:cstheme="minorHAnsi"/>
          <w:color w:val="auto"/>
        </w:rPr>
        <w:t>que</w:t>
      </w:r>
      <w:r w:rsidRPr="00C34111" w:rsidR="00F0163A">
        <w:rPr>
          <w:rFonts w:asciiTheme="minorHAnsi" w:hAnsiTheme="minorHAnsi" w:cstheme="minorHAnsi"/>
          <w:i/>
          <w:color w:val="auto"/>
        </w:rPr>
        <w:t xml:space="preserve"> “</w:t>
      </w:r>
      <w:r w:rsidRPr="00C34111" w:rsidR="00F0163A">
        <w:rPr>
          <w:rFonts w:asciiTheme="minorHAnsi" w:hAnsiTheme="minorHAnsi" w:cstheme="minorHAnsi"/>
          <w:i/>
        </w:rPr>
        <w:t>Dispõe sobre autorização para a abertura de crédito adicional suplementar, até o valor de R$</w:t>
      </w:r>
      <w:r w:rsidR="00557B7F">
        <w:rPr>
          <w:rFonts w:asciiTheme="minorHAnsi" w:hAnsiTheme="minorHAnsi" w:cstheme="minorHAnsi"/>
          <w:i/>
        </w:rPr>
        <w:t xml:space="preserve"> </w:t>
      </w:r>
      <w:r w:rsidRPr="007C041F">
        <w:rPr>
          <w:rFonts w:asciiTheme="minorHAnsi" w:hAnsiTheme="minorHAnsi" w:cstheme="minorHAnsi"/>
          <w:i/>
        </w:rPr>
        <w:t>567.876,30</w:t>
      </w:r>
      <w:r w:rsidRPr="00C34111" w:rsidR="00F0163A">
        <w:rPr>
          <w:rFonts w:asciiTheme="minorHAnsi" w:hAnsiTheme="minorHAnsi" w:cstheme="minorHAnsi"/>
          <w:i/>
        </w:rPr>
        <w:t>”,</w:t>
      </w:r>
      <w:r w:rsidRPr="00C34111" w:rsidR="00F0163A">
        <w:rPr>
          <w:rFonts w:asciiTheme="minorHAnsi" w:hAnsiTheme="minorHAnsi" w:cstheme="minorHAnsi"/>
        </w:rPr>
        <w:t xml:space="preserve"> destinado </w:t>
      </w:r>
      <w:r w:rsidR="00C34111">
        <w:rPr>
          <w:rFonts w:asciiTheme="minorHAnsi" w:hAnsiTheme="minorHAnsi" w:cstheme="minorHAnsi"/>
        </w:rPr>
        <w:t xml:space="preserve">à suplementar a dotação orçamentária da Secretaria </w:t>
      </w:r>
      <w:r w:rsidR="00557B7F">
        <w:rPr>
          <w:rFonts w:asciiTheme="minorHAnsi" w:hAnsiTheme="minorHAnsi" w:cstheme="minorHAnsi"/>
        </w:rPr>
        <w:t xml:space="preserve">de </w:t>
      </w:r>
      <w:r>
        <w:rPr>
          <w:rFonts w:asciiTheme="minorHAnsi" w:hAnsiTheme="minorHAnsi" w:cstheme="minorHAnsi"/>
        </w:rPr>
        <w:t>Segurança Pública e Cidadania</w:t>
      </w:r>
      <w:r w:rsidR="00557B7F">
        <w:rPr>
          <w:rFonts w:asciiTheme="minorHAnsi" w:hAnsiTheme="minorHAnsi" w:cstheme="minorHAnsi"/>
        </w:rPr>
        <w:t xml:space="preserve"> em “</w:t>
      </w:r>
      <w:r w:rsidRPr="007C041F">
        <w:rPr>
          <w:rFonts w:asciiTheme="minorHAnsi" w:hAnsiTheme="minorHAnsi" w:cstheme="minorHAnsi"/>
        </w:rPr>
        <w:t>Equipamentos e Material Permanente” na Implantação do Convênio do Sistema de Monitoramento FUNDOCAMP</w:t>
      </w:r>
      <w:r>
        <w:rPr>
          <w:rFonts w:asciiTheme="minorHAnsi" w:hAnsiTheme="minorHAnsi" w:cstheme="minorHAnsi"/>
        </w:rPr>
        <w:t xml:space="preserve"> – Processo de Compras 293/2021, </w:t>
      </w:r>
      <w:r w:rsidR="00557B7F">
        <w:rPr>
          <w:rFonts w:asciiTheme="minorHAnsi" w:hAnsiTheme="minorHAnsi" w:cstheme="minorHAnsi"/>
        </w:rPr>
        <w:t>com r</w:t>
      </w:r>
      <w:r w:rsidRPr="00557B7F" w:rsidR="00557B7F">
        <w:rPr>
          <w:rFonts w:asciiTheme="minorHAnsi" w:hAnsiTheme="minorHAnsi" w:cstheme="minorHAnsi"/>
        </w:rPr>
        <w:t xml:space="preserve">ecursos oriundos </w:t>
      </w:r>
      <w:r w:rsidRPr="007C041F">
        <w:rPr>
          <w:rFonts w:asciiTheme="minorHAnsi" w:hAnsiTheme="minorHAnsi" w:cstheme="minorHAnsi"/>
        </w:rPr>
        <w:t>FUNDOCAMP.</w:t>
      </w:r>
    </w:p>
    <w:p w:rsidR="00CB2D83" w:rsidRPr="00C34111" w:rsidP="00CB2D83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Dada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 </w:t>
      </w:r>
      <w:r>
        <w:rPr>
          <w:rFonts w:asciiTheme="minorHAnsi" w:hAnsiTheme="minorHAnsi" w:cstheme="minorHAnsi"/>
          <w:color w:val="auto"/>
          <w:u w:val="single"/>
        </w:rPr>
        <w:t>a</w:t>
      </w:r>
      <w:r>
        <w:rPr>
          <w:rFonts w:asciiTheme="minorHAnsi" w:hAnsiTheme="minorHAnsi" w:cstheme="minorHAnsi"/>
          <w:color w:val="auto"/>
          <w:u w:val="single"/>
        </w:rPr>
        <w:t xml:space="preserve"> </w:t>
      </w:r>
      <w:r w:rsidRPr="00C34111">
        <w:rPr>
          <w:rFonts w:asciiTheme="minorHAnsi" w:hAnsiTheme="minorHAnsi" w:cstheme="minorHAnsi"/>
          <w:color w:val="auto"/>
          <w:u w:val="single"/>
        </w:rPr>
        <w:t>solicitação de parecer j</w:t>
      </w:r>
      <w:r w:rsidRPr="00C34111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34111">
        <w:rPr>
          <w:rFonts w:asciiTheme="minorHAnsi" w:hAnsiTheme="minorHAnsi" w:cstheme="minorHAnsi"/>
          <w:color w:val="auto"/>
          <w:u w:val="single"/>
        </w:rPr>
        <w:t>, em análise estritamente jurídica, não incidindo sobre quaisquer aspectos financeiros, orçamentários e contábeis, temos o que segue.</w:t>
      </w:r>
    </w:p>
    <w:p w:rsidR="00F0163A" w:rsidRPr="00C34111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i/>
        </w:rPr>
        <w:t>Ab initio</w:t>
      </w:r>
      <w:r w:rsidRPr="00C34111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F0163A" w:rsidRPr="00C34111" w:rsidP="00F0163A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</w:p>
    <w:p w:rsidR="00F0163A" w:rsidRPr="00C34111" w:rsidP="00F0163A">
      <w:pPr>
        <w:pStyle w:val="Default"/>
        <w:spacing w:before="240"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RPr="00C34111" w:rsidP="00C34111">
      <w:pPr>
        <w:pStyle w:val="Default"/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</w:rPr>
        <w:t>“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34111">
        <w:rPr>
          <w:rFonts w:asciiTheme="minorHAnsi" w:hAnsiTheme="minorHAnsi" w:cstheme="minorHAnsi"/>
          <w:i/>
          <w:sz w:val="22"/>
          <w:szCs w:val="22"/>
        </w:rPr>
        <w:t>ex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i/>
          <w:sz w:val="22"/>
          <w:szCs w:val="22"/>
        </w:rPr>
        <w:t>oficio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F0163A" w:rsidRPr="00C34111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>Desta feita, considerando os aspectos constitucionais, passamos a análise técnica do projeto em epígrafe solicitado.</w:t>
      </w:r>
    </w:p>
    <w:p w:rsidR="0058201A" w:rsidRPr="00C34111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ab/>
      </w:r>
      <w:r w:rsidRPr="00C34111">
        <w:rPr>
          <w:rFonts w:asciiTheme="minorHAnsi" w:hAnsiTheme="minorHAnsi" w:cstheme="minorHAnsi"/>
        </w:rPr>
        <w:tab/>
      </w:r>
      <w:r w:rsidRPr="00C34111" w:rsidR="00FF614D">
        <w:rPr>
          <w:rFonts w:asciiTheme="minorHAnsi" w:hAnsiTheme="minorHAnsi" w:cstheme="minorHAnsi"/>
        </w:rPr>
        <w:tab/>
      </w:r>
      <w:r w:rsidRPr="00C34111" w:rsidR="00F163AB">
        <w:rPr>
          <w:rFonts w:asciiTheme="minorHAnsi" w:hAnsiTheme="minorHAnsi" w:cstheme="minorHAnsi"/>
        </w:rPr>
        <w:t xml:space="preserve">No que tange à abertura de créditos </w:t>
      </w:r>
      <w:r w:rsidRPr="00C34111" w:rsidR="006F674F">
        <w:rPr>
          <w:rFonts w:asciiTheme="minorHAnsi" w:hAnsiTheme="minorHAnsi" w:cstheme="minorHAnsi"/>
        </w:rPr>
        <w:t>adicionais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</w:rPr>
        <w:t>a</w:t>
      </w:r>
      <w:r w:rsidRPr="00C34111" w:rsidR="00EA0F15">
        <w:rPr>
          <w:rFonts w:asciiTheme="minorHAnsi" w:hAnsiTheme="minorHAnsi" w:cstheme="minorHAnsi"/>
        </w:rPr>
        <w:t xml:space="preserve"> Constituição Federal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 w:rsidR="00844764">
        <w:rPr>
          <w:rFonts w:asciiTheme="minorHAnsi" w:hAnsiTheme="minorHAnsi" w:cstheme="minorHAnsi"/>
        </w:rPr>
        <w:t xml:space="preserve">no artigo 167, inciso V </w:t>
      </w:r>
      <w:r w:rsidRPr="00C34111" w:rsidR="00F34BF6">
        <w:rPr>
          <w:rFonts w:asciiTheme="minorHAnsi" w:hAnsiTheme="minorHAnsi" w:cstheme="minorHAnsi"/>
        </w:rPr>
        <w:t>e a</w:t>
      </w:r>
      <w:r w:rsidRPr="00C34111">
        <w:rPr>
          <w:rFonts w:asciiTheme="minorHAnsi" w:hAnsiTheme="minorHAnsi" w:cstheme="minorHAnsi"/>
        </w:rPr>
        <w:t xml:space="preserve"> Constituição do Estado de São Paulo, </w:t>
      </w:r>
      <w:r w:rsidRPr="00C34111" w:rsidR="00844764">
        <w:rPr>
          <w:rFonts w:asciiTheme="minorHAnsi" w:hAnsiTheme="minorHAnsi" w:cstheme="minorHAnsi"/>
        </w:rPr>
        <w:t xml:space="preserve">no </w:t>
      </w:r>
      <w:r w:rsidRPr="00C34111">
        <w:rPr>
          <w:rFonts w:asciiTheme="minorHAnsi" w:hAnsiTheme="minorHAnsi" w:cstheme="minorHAnsi"/>
        </w:rPr>
        <w:t>artigo 176, inciso</w:t>
      </w:r>
      <w:r w:rsidRPr="00C34111" w:rsidR="00844764">
        <w:rPr>
          <w:rFonts w:asciiTheme="minorHAnsi" w:hAnsiTheme="minorHAnsi" w:cstheme="minorHAnsi"/>
        </w:rPr>
        <w:t xml:space="preserve"> V</w:t>
      </w:r>
      <w:r w:rsidRPr="00C34111" w:rsidR="00F34BF6">
        <w:rPr>
          <w:rFonts w:asciiTheme="minorHAnsi" w:hAnsiTheme="minorHAnsi" w:cstheme="minorHAnsi"/>
        </w:rPr>
        <w:t xml:space="preserve"> </w:t>
      </w:r>
      <w:r w:rsidRPr="00C34111" w:rsidR="00F34BF6">
        <w:rPr>
          <w:rFonts w:asciiTheme="minorHAnsi" w:hAnsiTheme="minorHAnsi" w:cstheme="minorHAnsi"/>
          <w:u w:val="single"/>
        </w:rPr>
        <w:t>vedam</w:t>
      </w:r>
      <w:r w:rsidRPr="00C34111">
        <w:rPr>
          <w:rFonts w:asciiTheme="minorHAnsi" w:hAnsiTheme="minorHAnsi" w:cstheme="minorHAnsi"/>
          <w:u w:val="single"/>
        </w:rPr>
        <w:t xml:space="preserve"> a abertura de crédito suplementar ou especial sem prévia autorização legislativa e sem indicação dos recursos correspondentes</w:t>
      </w:r>
      <w:r w:rsidRPr="00C34111" w:rsidR="00F34BF6">
        <w:rPr>
          <w:rFonts w:asciiTheme="minorHAnsi" w:hAnsiTheme="minorHAnsi" w:cstheme="minorHAnsi"/>
        </w:rPr>
        <w:t>.</w:t>
      </w:r>
    </w:p>
    <w:p w:rsidR="006F674F" w:rsidRPr="00C34111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34111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34111" w:rsidP="00174657">
      <w:pPr>
        <w:pStyle w:val="Default"/>
        <w:spacing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34111" w:rsidP="00174657">
      <w:pPr>
        <w:pStyle w:val="Default"/>
        <w:spacing w:after="240" w:line="360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34111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34111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34111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7C28D8">
        <w:rPr>
          <w:rFonts w:eastAsia="Calibri" w:asciiTheme="minorHAnsi" w:hAnsiTheme="minorHAnsi" w:cstheme="minorHAnsi"/>
          <w:szCs w:val="24"/>
        </w:rPr>
        <w:t>exige</w:t>
      </w:r>
      <w:r w:rsidRPr="00C34111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CE5172">
        <w:rPr>
          <w:rFonts w:eastAsia="Calibri" w:asciiTheme="minorHAnsi" w:hAnsiTheme="minorHAnsi" w:cstheme="minorHAnsi"/>
          <w:szCs w:val="24"/>
        </w:rPr>
        <w:t>autorização</w:t>
      </w:r>
      <w:r w:rsidRPr="00C34111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34111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34111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34111" w:rsidP="00174657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34111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34111" w:rsidP="00174657">
      <w:pPr>
        <w:spacing w:after="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34111">
        <w:rPr>
          <w:rFonts w:asciiTheme="minorHAnsi" w:hAnsiTheme="minorHAnsi" w:cstheme="minorHAnsi"/>
          <w:i/>
          <w:sz w:val="22"/>
          <w:szCs w:val="22"/>
        </w:rPr>
        <w:t>;</w:t>
      </w:r>
      <w:r w:rsidRPr="00C34111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34111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34111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rio</w:t>
      </w:r>
      <w:r w:rsidRPr="00C34111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34111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n</w:t>
      </w:r>
      <w:r w:rsidRPr="00C34111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C34111" w:rsidR="00DD4EC2">
        <w:rPr>
          <w:rFonts w:asciiTheme="minorHAnsi" w:hAnsiTheme="minorHAnsi" w:cstheme="minorHAnsi"/>
          <w:szCs w:val="24"/>
          <w:u w:val="single"/>
          <w:lang w:val="pt-PT"/>
        </w:rPr>
        <w:t>Chefe do P</w:t>
      </w:r>
      <w:r w:rsidRPr="00C34111" w:rsidR="00CB2D83">
        <w:rPr>
          <w:rFonts w:asciiTheme="minorHAnsi" w:hAnsiTheme="minorHAnsi" w:cstheme="minorHAnsi"/>
          <w:szCs w:val="24"/>
          <w:u w:val="single"/>
          <w:lang w:val="pt-PT"/>
        </w:rPr>
        <w:t>oder Executivo Municipal</w:t>
      </w:r>
      <w:r w:rsidRPr="00C34111" w:rsidR="002E0808">
        <w:rPr>
          <w:rFonts w:asciiTheme="minorHAnsi" w:hAnsiTheme="minorHAnsi" w:cstheme="minorHAnsi"/>
          <w:szCs w:val="24"/>
          <w:lang w:val="pt-PT"/>
        </w:rPr>
        <w:t xml:space="preserve">, </w:t>
      </w:r>
      <w:r w:rsidRPr="00C34111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34111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996E6A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IV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34111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7176E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34111">
        <w:rPr>
          <w:rFonts w:asciiTheme="minorHAnsi" w:hAnsiTheme="minorHAnsi" w:cstheme="minorHAnsi"/>
          <w:i/>
          <w:sz w:val="22"/>
          <w:szCs w:val="22"/>
        </w:rPr>
        <w:t>)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34111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>A abertura de crédito</w:t>
      </w:r>
      <w:r w:rsidRPr="00C34111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34111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34111">
        <w:rPr>
          <w:rFonts w:asciiTheme="minorHAnsi" w:hAnsiTheme="minorHAnsi" w:cstheme="minorHAnsi"/>
          <w:szCs w:val="24"/>
          <w:lang w:val="pt-PT"/>
        </w:rPr>
        <w:t>norm</w:t>
      </w:r>
      <w:r w:rsidRPr="00C34111">
        <w:rPr>
          <w:rFonts w:asciiTheme="minorHAnsi" w:hAnsiTheme="minorHAnsi" w:cstheme="minorHAnsi"/>
          <w:szCs w:val="24"/>
          <w:lang w:val="pt-PT"/>
        </w:rPr>
        <w:t>a</w:t>
      </w:r>
      <w:r w:rsidRPr="00C34111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34111">
        <w:rPr>
          <w:rFonts w:asciiTheme="minorHAnsi" w:hAnsiTheme="minorHAnsi" w:cstheme="minorHAnsi"/>
          <w:szCs w:val="24"/>
          <w:lang w:val="pt-PT"/>
        </w:rPr>
        <w:t>assim conceitua: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34111" w:rsidP="00CB369D">
      <w:pPr>
        <w:tabs>
          <w:tab w:val="left" w:pos="1701"/>
        </w:tabs>
        <w:spacing w:after="240" w:line="36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34111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34111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34111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34111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1" w:name="art41"/>
      <w:bookmarkEnd w:id="1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2" w:name="art41i"/>
      <w:bookmarkEnd w:id="2"/>
    </w:p>
    <w:p w:rsidR="00F34BF6" w:rsidRPr="00C34111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I - suplementares, os destinados a reforço de dotação orçamentária;</w:t>
      </w:r>
    </w:p>
    <w:p w:rsidR="00F34BF6" w:rsidRPr="00C34111" w:rsidP="002E0E58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3" w:name="art41ii"/>
      <w:bookmarkEnd w:id="3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8C51BE" w:rsidRPr="00C34111" w:rsidP="00CB369D">
      <w:pPr>
        <w:pStyle w:val="NormalWeb"/>
        <w:spacing w:before="0" w:beforeAutospacing="0" w:after="240" w:afterAutospacing="0" w:line="36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7C041F" w:rsidRPr="00C34111" w:rsidP="007C041F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54185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34111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7C041F" w:rsidRPr="00C34111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34111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34111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7C041F" w:rsidRPr="00C34111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7C041F" w:rsidRPr="00F82AEB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5" w:name="art43§1ii"/>
      <w:bookmarkEnd w:id="5"/>
    </w:p>
    <w:p w:rsidR="007C041F" w:rsidRPr="00F82AEB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b/>
          <w:i/>
          <w:color w:val="000000"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7C041F" w:rsidRPr="00F82AEB" w:rsidP="007C041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III - os resultantes de anulação parcial ou total de dotações orçamentárias ou de créditos adicionais, autorizados em Lei</w:t>
      </w:r>
      <w:r w:rsidRPr="00F82AEB"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  <w:bookmarkStart w:id="7" w:name="art43§1iv"/>
      <w:bookmarkEnd w:id="7"/>
    </w:p>
    <w:p w:rsidR="007C041F" w:rsidRPr="00C34111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C34111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8" w:name="art43§2"/>
      <w:bookmarkEnd w:id="8"/>
    </w:p>
    <w:p w:rsidR="007C041F" w:rsidRPr="00C34111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34111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7C041F" w:rsidRPr="00C34111" w:rsidP="007C041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D0BDE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§ 3º Entende-se por excesso de arrecadação, para os fins deste artigo, o saldo positivo das diferenças acumuladas mês </w:t>
      </w:r>
      <w:r w:rsidRPr="003D0BDE">
        <w:rPr>
          <w:rFonts w:asciiTheme="minorHAnsi" w:hAnsiTheme="minorHAnsi" w:cstheme="minorHAnsi"/>
          <w:b/>
          <w:i/>
          <w:color w:val="000000"/>
          <w:sz w:val="22"/>
          <w:szCs w:val="22"/>
        </w:rPr>
        <w:t>a mês entre a arrecadação prevista e a realizada, considerando-se, ainda, a tendência do exercício.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               </w:t>
      </w:r>
      <w:hyperlink r:id="rId5" w:anchor="veto" w:history="1">
        <w:r w:rsidRPr="00C34111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           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     </w:t>
      </w:r>
      <w:hyperlink r:id="rId6" w:anchor="art2" w:history="1">
        <w:r w:rsidRPr="00C34111">
          <w:rPr>
            <w:rFonts w:asciiTheme="minorHAnsi" w:hAnsiTheme="minorHAnsi" w:cstheme="minorHAnsi"/>
            <w:i/>
            <w:color w:val="000000"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7C041F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3D0BDE">
        <w:rPr>
          <w:rFonts w:asciiTheme="minorHAnsi" w:hAnsiTheme="minorHAnsi" w:cstheme="minorHAnsi"/>
          <w:b/>
          <w:i/>
          <w:color w:val="000000"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3D0BDE">
        <w:rPr>
          <w:rFonts w:asciiTheme="minorHAnsi" w:hAnsiTheme="minorHAnsi" w:cstheme="minorHAnsi"/>
          <w:b/>
          <w:i/>
          <w:color w:val="000000"/>
          <w:szCs w:val="24"/>
        </w:rPr>
        <w:t>   </w:t>
      </w:r>
      <w:r w:rsidRPr="003D0BDE">
        <w:rPr>
          <w:rFonts w:asciiTheme="minorHAnsi" w:hAnsiTheme="minorHAnsi" w:cstheme="minorHAnsi"/>
          <w:b/>
          <w:i/>
          <w:color w:val="000000"/>
          <w:szCs w:val="24"/>
        </w:rPr>
        <w:t>  </w:t>
      </w:r>
    </w:p>
    <w:p w:rsidR="007C041F" w:rsidRPr="003D0BDE" w:rsidP="007C041F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color w:val="000000"/>
          <w:szCs w:val="24"/>
        </w:rPr>
      </w:pPr>
      <w:r w:rsidRPr="003D0BDE">
        <w:rPr>
          <w:rFonts w:asciiTheme="minorHAnsi" w:hAnsiTheme="minorHAnsi" w:cstheme="minorHAnsi"/>
          <w:b/>
          <w:szCs w:val="24"/>
        </w:rPr>
        <w:tab/>
      </w:r>
      <w:r w:rsidRPr="003D0BDE">
        <w:rPr>
          <w:rFonts w:asciiTheme="minorHAnsi" w:hAnsiTheme="minorHAnsi" w:cstheme="minorHAnsi"/>
          <w:b/>
        </w:rPr>
        <w:tab/>
      </w:r>
    </w:p>
    <w:p w:rsidR="007C041F" w:rsidRPr="002907F1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Da mensagem</w:t>
      </w:r>
      <w:r w:rsidRPr="00C34111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</w:t>
      </w:r>
      <w:r w:rsidRPr="00526FB6">
        <w:rPr>
          <w:rFonts w:asciiTheme="minorHAnsi" w:hAnsiTheme="minorHAnsi" w:cstheme="minorHAnsi"/>
          <w:b/>
          <w:szCs w:val="24"/>
          <w:u w:val="single"/>
        </w:rPr>
        <w:t xml:space="preserve">recursos provenientes do excesso de arrecadação </w:t>
      </w:r>
      <w:r w:rsidRPr="003D0BDE">
        <w:rPr>
          <w:rFonts w:asciiTheme="minorHAnsi" w:hAnsiTheme="minorHAnsi" w:cstheme="minorHAnsi"/>
          <w:b/>
          <w:szCs w:val="24"/>
          <w:u w:val="single"/>
        </w:rPr>
        <w:t>a verificar-se no corrente exercício</w:t>
      </w:r>
      <w:r w:rsidRPr="008C24D7">
        <w:rPr>
          <w:rFonts w:asciiTheme="minorHAnsi" w:hAnsiTheme="minorHAnsi" w:cstheme="minorHAnsi"/>
          <w:szCs w:val="24"/>
          <w:u w:val="single"/>
        </w:rPr>
        <w:t>, com fundamento no dispo</w:t>
      </w:r>
      <w:r>
        <w:rPr>
          <w:rFonts w:asciiTheme="minorHAnsi" w:hAnsiTheme="minorHAnsi" w:cstheme="minorHAnsi"/>
          <w:szCs w:val="24"/>
          <w:u w:val="single"/>
        </w:rPr>
        <w:t xml:space="preserve">sto no inciso </w:t>
      </w:r>
      <w:r w:rsidRPr="008C24D7">
        <w:rPr>
          <w:rFonts w:asciiTheme="minorHAnsi" w:hAnsiTheme="minorHAnsi" w:cstheme="minorHAnsi"/>
          <w:szCs w:val="24"/>
          <w:u w:val="single"/>
        </w:rPr>
        <w:t>II</w:t>
      </w:r>
      <w:r>
        <w:rPr>
          <w:rFonts w:asciiTheme="minorHAnsi" w:hAnsiTheme="minorHAnsi" w:cstheme="minorHAnsi"/>
          <w:szCs w:val="24"/>
          <w:u w:val="single"/>
        </w:rPr>
        <w:t>, § 1º e § 3º do artigo 43</w:t>
      </w:r>
      <w:r w:rsidRPr="008C24D7">
        <w:rPr>
          <w:rFonts w:asciiTheme="minorHAnsi" w:hAnsiTheme="minorHAnsi" w:cstheme="minorHAnsi"/>
          <w:szCs w:val="24"/>
          <w:u w:val="single"/>
        </w:rPr>
        <w:t>, da Lei Federal n</w:t>
      </w:r>
      <w:r>
        <w:rPr>
          <w:rFonts w:asciiTheme="minorHAnsi" w:hAnsiTheme="minorHAnsi" w:cstheme="minorHAnsi"/>
          <w:szCs w:val="24"/>
          <w:u w:val="single"/>
        </w:rPr>
        <w:t xml:space="preserve">º 4.320, de 17 de março de 1964, </w:t>
      </w:r>
      <w:r>
        <w:rPr>
          <w:rFonts w:asciiTheme="minorHAnsi" w:hAnsiTheme="minorHAnsi" w:cstheme="minorHAnsi"/>
          <w:b/>
          <w:szCs w:val="24"/>
          <w:u w:val="single"/>
        </w:rPr>
        <w:t xml:space="preserve">com </w:t>
      </w:r>
      <w:r w:rsidRPr="00AD740D">
        <w:rPr>
          <w:rFonts w:asciiTheme="minorHAnsi" w:hAnsiTheme="minorHAnsi" w:cstheme="minorHAnsi"/>
          <w:szCs w:val="24"/>
          <w:u w:val="single"/>
        </w:rPr>
        <w:t>recursos oriundos</w:t>
      </w:r>
      <w:r>
        <w:rPr>
          <w:rFonts w:asciiTheme="minorHAnsi" w:hAnsiTheme="minorHAnsi" w:cstheme="minorHAnsi"/>
          <w:szCs w:val="24"/>
          <w:u w:val="single"/>
        </w:rPr>
        <w:t xml:space="preserve"> do FUNDOCAMP</w:t>
      </w:r>
      <w:r w:rsidRPr="002907F1">
        <w:rPr>
          <w:rFonts w:asciiTheme="minorHAnsi" w:hAnsiTheme="minorHAnsi" w:cstheme="minorHAnsi"/>
          <w:b/>
          <w:szCs w:val="24"/>
          <w:u w:val="single"/>
        </w:rPr>
        <w:t>.</w:t>
      </w:r>
    </w:p>
    <w:p w:rsidR="007C041F" w:rsidP="007C041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a recente Lei nº 6.136, de 25 de agosto de 2021, que dispõe sobre diretrizes a serem observadas quanto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</w:t>
      </w:r>
      <w:r>
        <w:rPr>
          <w:rFonts w:asciiTheme="minorHAnsi" w:hAnsiTheme="minorHAnsi" w:cstheme="minorHAnsi"/>
          <w:i/>
          <w:sz w:val="22"/>
          <w:szCs w:val="22"/>
        </w:rPr>
        <w:t xml:space="preserve">sobre autorização para abertura de crédito adicional especial e/ou suplementar, com os seguintes documentos: </w:t>
      </w:r>
    </w:p>
    <w:p w:rsidR="007C041F" w:rsidRPr="00526FB6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7C041F" w:rsidRPr="00526FB6" w:rsidP="007C041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VI - especificação detalhada acerca do excesso de arrecadação. </w:t>
      </w:r>
    </w:p>
    <w:p w:rsidR="007C041F" w:rsidP="007C041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7C041F" w:rsidP="007C041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7C041F" w:rsidP="007C041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7C041F" w:rsidP="007C041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7C041F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C041F" w:rsidRPr="00636BBC" w:rsidP="007C041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7C041F" w:rsidP="007C041F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o Executivo </w:t>
      </w:r>
      <w:r>
        <w:rPr>
          <w:rFonts w:asciiTheme="minorHAnsi" w:hAnsiTheme="minorHAnsi" w:cstheme="minorHAnsi"/>
          <w:szCs w:val="24"/>
          <w:u w:val="single"/>
        </w:rPr>
        <w:t xml:space="preserve">instrui o projeto com cópia do </w:t>
      </w:r>
      <w:r w:rsidRPr="007C041F">
        <w:rPr>
          <w:rFonts w:asciiTheme="minorHAnsi" w:hAnsiTheme="minorHAnsi" w:cstheme="minorHAnsi"/>
          <w:szCs w:val="24"/>
          <w:u w:val="single"/>
        </w:rPr>
        <w:t>INSTRUMENTO DE LIBERAÇÃO DE CRÉDITO NÃO REEMBOLSÁVEL AO AMPARO DE RECURSOS DO FUNDO DE DESENVOLVIMENTO</w:t>
      </w:r>
      <w:r>
        <w:rPr>
          <w:rFonts w:asciiTheme="minorHAnsi" w:hAnsiTheme="minorHAnsi" w:cstheme="minorHAnsi"/>
          <w:szCs w:val="24"/>
          <w:u w:val="single"/>
        </w:rPr>
        <w:t xml:space="preserve"> </w:t>
      </w:r>
      <w:r w:rsidRPr="007C041F">
        <w:rPr>
          <w:rFonts w:asciiTheme="minorHAnsi" w:hAnsiTheme="minorHAnsi" w:cstheme="minorHAnsi"/>
          <w:szCs w:val="24"/>
          <w:u w:val="single"/>
        </w:rPr>
        <w:t xml:space="preserve">METROPOLITANO DE CAMPINAS - FUNDOCAMP - Nº </w:t>
      </w:r>
      <w:r>
        <w:rPr>
          <w:rFonts w:asciiTheme="minorHAnsi" w:hAnsiTheme="minorHAnsi" w:cstheme="minorHAnsi"/>
          <w:szCs w:val="24"/>
          <w:u w:val="single"/>
        </w:rPr>
        <w:t>01</w:t>
      </w:r>
      <w:r w:rsidRPr="007C041F">
        <w:rPr>
          <w:rFonts w:asciiTheme="minorHAnsi" w:hAnsiTheme="minorHAnsi" w:cstheme="minorHAnsi"/>
          <w:szCs w:val="24"/>
          <w:u w:val="single"/>
        </w:rPr>
        <w:t>8/2021</w:t>
      </w:r>
      <w:r>
        <w:rPr>
          <w:rFonts w:asciiTheme="minorHAnsi" w:hAnsiTheme="minorHAnsi" w:cstheme="minorHAnsi"/>
          <w:szCs w:val="24"/>
          <w:u w:val="single"/>
        </w:rPr>
        <w:t xml:space="preserve"> e </w:t>
      </w:r>
      <w:r w:rsidRPr="007C041F">
        <w:rPr>
          <w:rFonts w:asciiTheme="minorHAnsi" w:hAnsiTheme="minorHAnsi" w:cstheme="minorHAnsi"/>
          <w:szCs w:val="24"/>
          <w:u w:val="single"/>
        </w:rPr>
        <w:t xml:space="preserve">Nº </w:t>
      </w:r>
      <w:r>
        <w:rPr>
          <w:rFonts w:asciiTheme="minorHAnsi" w:hAnsiTheme="minorHAnsi" w:cstheme="minorHAnsi"/>
          <w:szCs w:val="24"/>
          <w:u w:val="single"/>
        </w:rPr>
        <w:t>019</w:t>
      </w:r>
      <w:r w:rsidRPr="007C041F">
        <w:rPr>
          <w:rFonts w:asciiTheme="minorHAnsi" w:hAnsiTheme="minorHAnsi" w:cstheme="minorHAnsi"/>
          <w:szCs w:val="24"/>
          <w:u w:val="single"/>
        </w:rPr>
        <w:t>/2021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 quanto ao detalhamento do excesso de arrecadação.</w:t>
      </w:r>
    </w:p>
    <w:p w:rsidR="007C041F" w:rsidRPr="00C34111" w:rsidP="007C041F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color w:val="000000" w:themeColor="text1"/>
        </w:rPr>
        <w:t>Por fim, 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7C041F" w:rsidRPr="00C34111" w:rsidP="007C041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C041F" w:rsidRPr="00C34111" w:rsidP="007C041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>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7C041F" w:rsidP="007C041F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 xml:space="preserve">Ante ao exposto, sob o aspecto estritamente jurídico, a proposta </w:t>
      </w:r>
      <w:r w:rsidRPr="002907F1">
        <w:rPr>
          <w:rFonts w:asciiTheme="minorHAnsi" w:hAnsiTheme="minorHAnsi" w:cstheme="minorHAnsi"/>
          <w:color w:val="000000"/>
          <w:u w:val="single"/>
        </w:rPr>
        <w:t xml:space="preserve">reúne condições de constitucionalidade e </w:t>
      </w:r>
      <w:r w:rsidRPr="002907F1">
        <w:rPr>
          <w:rFonts w:asciiTheme="minorHAnsi" w:hAnsiTheme="minorHAnsi" w:cstheme="minorHAnsi"/>
          <w:u w:val="single"/>
        </w:rPr>
        <w:t>legalidade</w:t>
      </w:r>
      <w:r w:rsidRPr="00087763">
        <w:rPr>
          <w:rFonts w:asciiTheme="minorHAnsi" w:hAnsiTheme="minorHAnsi" w:cstheme="minorHAnsi"/>
        </w:rPr>
        <w:t xml:space="preserve">. </w:t>
      </w:r>
      <w:r w:rsidRPr="00C34111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DE5290" w:rsidRPr="00C34111" w:rsidP="00CB369D">
      <w:pPr>
        <w:pStyle w:val="BodyText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3B02E8">
        <w:rPr>
          <w:rFonts w:asciiTheme="minorHAnsi" w:hAnsiTheme="minorHAnsi" w:cstheme="minorHAnsi"/>
          <w:szCs w:val="24"/>
        </w:rPr>
        <w:t>É o parecer.</w:t>
      </w:r>
    </w:p>
    <w:p w:rsidR="00834F2B" w:rsidRPr="00C34111" w:rsidP="00DE5290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F0163A">
        <w:rPr>
          <w:rFonts w:asciiTheme="minorHAnsi" w:hAnsiTheme="minorHAnsi" w:cstheme="minorHAnsi"/>
          <w:szCs w:val="24"/>
        </w:rPr>
        <w:t>Procuradoria</w:t>
      </w:r>
      <w:r w:rsidRPr="00C34111" w:rsidR="003B02E8">
        <w:rPr>
          <w:rFonts w:asciiTheme="minorHAnsi" w:hAnsiTheme="minorHAnsi" w:cstheme="minorHAnsi"/>
          <w:szCs w:val="24"/>
        </w:rPr>
        <w:t>,</w:t>
      </w:r>
      <w:r w:rsidRPr="00C34111">
        <w:rPr>
          <w:rFonts w:asciiTheme="minorHAnsi" w:hAnsiTheme="minorHAnsi" w:cstheme="minorHAnsi"/>
          <w:szCs w:val="24"/>
        </w:rPr>
        <w:t xml:space="preserve"> </w:t>
      </w:r>
      <w:r w:rsidR="00557B7F">
        <w:rPr>
          <w:rFonts w:asciiTheme="minorHAnsi" w:hAnsiTheme="minorHAnsi" w:cstheme="minorHAnsi"/>
          <w:szCs w:val="24"/>
        </w:rPr>
        <w:t>0</w:t>
      </w:r>
      <w:r w:rsidR="0088779B">
        <w:rPr>
          <w:rFonts w:asciiTheme="minorHAnsi" w:hAnsiTheme="minorHAnsi" w:cstheme="minorHAnsi"/>
          <w:szCs w:val="24"/>
        </w:rPr>
        <w:t>7</w:t>
      </w:r>
      <w:r w:rsidR="00C34111">
        <w:rPr>
          <w:rFonts w:asciiTheme="minorHAnsi" w:hAnsiTheme="minorHAnsi" w:cstheme="minorHAnsi"/>
          <w:szCs w:val="24"/>
        </w:rPr>
        <w:t xml:space="preserve"> de </w:t>
      </w:r>
      <w:r w:rsidR="00557B7F">
        <w:rPr>
          <w:rFonts w:asciiTheme="minorHAnsi" w:hAnsiTheme="minorHAnsi" w:cstheme="minorHAnsi"/>
          <w:szCs w:val="24"/>
        </w:rPr>
        <w:t>fevereiro</w:t>
      </w:r>
      <w:r w:rsidRPr="00C34111" w:rsidR="003B02E8">
        <w:rPr>
          <w:rFonts w:asciiTheme="minorHAnsi" w:hAnsiTheme="minorHAnsi" w:cstheme="minorHAnsi"/>
          <w:szCs w:val="24"/>
        </w:rPr>
        <w:t xml:space="preserve"> de 202</w:t>
      </w:r>
      <w:r w:rsidR="00557B7F">
        <w:rPr>
          <w:rFonts w:asciiTheme="minorHAnsi" w:hAnsiTheme="minorHAnsi" w:cstheme="minorHAnsi"/>
          <w:szCs w:val="24"/>
        </w:rPr>
        <w:t>2</w:t>
      </w:r>
      <w:r w:rsidRPr="00C34111">
        <w:rPr>
          <w:rFonts w:asciiTheme="minorHAnsi" w:hAnsiTheme="minorHAnsi" w:cstheme="minorHAnsi"/>
          <w:szCs w:val="24"/>
        </w:rPr>
        <w:t>.</w:t>
      </w:r>
    </w:p>
    <w:p w:rsidR="00A33C51" w:rsidRPr="00C34111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834F2B">
          <w:headerReference w:type="default" r:id="rId7"/>
          <w:footerReference w:type="default" r:id="rId8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BF55F6" w:rsidP="00B60874">
      <w:pPr>
        <w:tabs>
          <w:tab w:val="left" w:pos="5130"/>
        </w:tabs>
        <w:rPr>
          <w:rFonts w:asciiTheme="minorHAnsi" w:hAnsiTheme="minorHAnsi" w:cstheme="minorHAnsi"/>
          <w:szCs w:val="24"/>
        </w:rPr>
      </w:pPr>
    </w:p>
    <w:p w:rsidR="0088779B" w:rsidP="00B60874">
      <w:pPr>
        <w:tabs>
          <w:tab w:val="left" w:pos="5130"/>
        </w:tabs>
        <w:rPr>
          <w:rFonts w:asciiTheme="minorHAnsi" w:hAnsiTheme="minorHAnsi" w:cstheme="minorHAnsi"/>
          <w:szCs w:val="24"/>
        </w:rPr>
      </w:pPr>
    </w:p>
    <w:p w:rsidR="0088779B" w:rsidP="00B60874">
      <w:pPr>
        <w:tabs>
          <w:tab w:val="left" w:pos="5130"/>
        </w:tabs>
        <w:rPr>
          <w:rFonts w:asciiTheme="minorHAnsi" w:hAnsiTheme="minorHAnsi" w:cstheme="minorHAnsi"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F0163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sectPr w:rsidSect="007C041F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88779B" w:rsidP="0088779B">
                    <w:pPr>
                      <w:pStyle w:val="Footer"/>
                      <w:jc w:val="right"/>
                    </w:pPr>
                  </w:p>
                  <w:p w:rsidR="0088779B" w:rsidP="0088779B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88779B" w:rsidP="0088779B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88779B" w:rsidP="0088779B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88779B" w:rsidP="00FC3987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7C041F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66330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66330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8779B" w:rsidP="0088779B">
    <w:pPr>
      <w:pStyle w:val="Footer"/>
      <w:tabs>
        <w:tab w:val="left" w:pos="3433"/>
        <w:tab w:val="clear" w:pos="4419"/>
        <w:tab w:val="clear" w:pos="8838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79B" w:rsidP="0088779B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779B" w:rsidP="0088779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12673245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715405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65pt;height:68.65pt" o:oleicon="f" o:ole="">
                                <v:imagedata r:id="rId2" o:title=""/>
                              </v:shape>
                              <o:OLEObject Type="Embed" ProgID="MSPhotoEd.3" ShapeID="_x0000_i2051" DrawAspect="Content" ObjectID="_170574654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8779B" w:rsidP="0088779B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323338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574654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8779B" w:rsidP="0088779B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8779B" w:rsidP="0088779B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8779B" w:rsidP="0088779B">
    <w:pPr>
      <w:pStyle w:val="Header"/>
    </w:pPr>
  </w:p>
  <w:p w:rsidR="007C041F" w:rsidP="006D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6330"/>
    <w:rsid w:val="00072745"/>
    <w:rsid w:val="00087763"/>
    <w:rsid w:val="00094FC8"/>
    <w:rsid w:val="000A7037"/>
    <w:rsid w:val="000B4ADE"/>
    <w:rsid w:val="000C08B8"/>
    <w:rsid w:val="000C1D38"/>
    <w:rsid w:val="000C3EF3"/>
    <w:rsid w:val="000E086D"/>
    <w:rsid w:val="00117687"/>
    <w:rsid w:val="0013060F"/>
    <w:rsid w:val="00132824"/>
    <w:rsid w:val="0014270F"/>
    <w:rsid w:val="00146CE5"/>
    <w:rsid w:val="00152692"/>
    <w:rsid w:val="00174657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907F1"/>
    <w:rsid w:val="002B15C8"/>
    <w:rsid w:val="002B1985"/>
    <w:rsid w:val="002C2449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A2C65"/>
    <w:rsid w:val="003B02E8"/>
    <w:rsid w:val="003B0AE0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2F14"/>
    <w:rsid w:val="00515A76"/>
    <w:rsid w:val="00516A25"/>
    <w:rsid w:val="00521E8D"/>
    <w:rsid w:val="00526E32"/>
    <w:rsid w:val="00526FB6"/>
    <w:rsid w:val="00541851"/>
    <w:rsid w:val="00546E3D"/>
    <w:rsid w:val="00557B7F"/>
    <w:rsid w:val="0058201A"/>
    <w:rsid w:val="005B5B3A"/>
    <w:rsid w:val="005C61FE"/>
    <w:rsid w:val="005E0943"/>
    <w:rsid w:val="005E0CC1"/>
    <w:rsid w:val="005E4987"/>
    <w:rsid w:val="005E6F3B"/>
    <w:rsid w:val="005F28BA"/>
    <w:rsid w:val="00600907"/>
    <w:rsid w:val="00620FEF"/>
    <w:rsid w:val="00633897"/>
    <w:rsid w:val="00636BBC"/>
    <w:rsid w:val="00683121"/>
    <w:rsid w:val="00684901"/>
    <w:rsid w:val="00696105"/>
    <w:rsid w:val="006B19C9"/>
    <w:rsid w:val="006B7254"/>
    <w:rsid w:val="006C1ABF"/>
    <w:rsid w:val="006D7024"/>
    <w:rsid w:val="006E59A6"/>
    <w:rsid w:val="006F674F"/>
    <w:rsid w:val="007042A1"/>
    <w:rsid w:val="007125D7"/>
    <w:rsid w:val="00745F2C"/>
    <w:rsid w:val="00747C65"/>
    <w:rsid w:val="00750FEA"/>
    <w:rsid w:val="007627E3"/>
    <w:rsid w:val="00777ACF"/>
    <w:rsid w:val="007949FB"/>
    <w:rsid w:val="007A7435"/>
    <w:rsid w:val="007C041F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8779B"/>
    <w:rsid w:val="008923E9"/>
    <w:rsid w:val="008B488E"/>
    <w:rsid w:val="008B68D5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63ED4"/>
    <w:rsid w:val="00A67E63"/>
    <w:rsid w:val="00A7176E"/>
    <w:rsid w:val="00A71D06"/>
    <w:rsid w:val="00AA13F0"/>
    <w:rsid w:val="00AC01B0"/>
    <w:rsid w:val="00AC08AA"/>
    <w:rsid w:val="00AC6896"/>
    <w:rsid w:val="00AD05AC"/>
    <w:rsid w:val="00AD740D"/>
    <w:rsid w:val="00B11531"/>
    <w:rsid w:val="00B20A65"/>
    <w:rsid w:val="00B22C55"/>
    <w:rsid w:val="00B60874"/>
    <w:rsid w:val="00B778AA"/>
    <w:rsid w:val="00B93ED4"/>
    <w:rsid w:val="00BA65D2"/>
    <w:rsid w:val="00BB3B11"/>
    <w:rsid w:val="00BC387A"/>
    <w:rsid w:val="00BF55F6"/>
    <w:rsid w:val="00C0003E"/>
    <w:rsid w:val="00C02E72"/>
    <w:rsid w:val="00C24ABB"/>
    <w:rsid w:val="00C34111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72476"/>
    <w:rsid w:val="00D822CC"/>
    <w:rsid w:val="00DA4495"/>
    <w:rsid w:val="00DA485E"/>
    <w:rsid w:val="00DB2D3E"/>
    <w:rsid w:val="00DD4EC2"/>
    <w:rsid w:val="00DE5290"/>
    <w:rsid w:val="00DF576F"/>
    <w:rsid w:val="00E05F06"/>
    <w:rsid w:val="00E20AD6"/>
    <w:rsid w:val="00E307C3"/>
    <w:rsid w:val="00E60FD0"/>
    <w:rsid w:val="00E654B2"/>
    <w:rsid w:val="00E65F4B"/>
    <w:rsid w:val="00E661C5"/>
    <w:rsid w:val="00E67B0A"/>
    <w:rsid w:val="00E7515C"/>
    <w:rsid w:val="00EA0F15"/>
    <w:rsid w:val="00EA1DB6"/>
    <w:rsid w:val="00EB315E"/>
    <w:rsid w:val="00ED1E87"/>
    <w:rsid w:val="00ED2474"/>
    <w:rsid w:val="00ED612E"/>
    <w:rsid w:val="00EF6371"/>
    <w:rsid w:val="00EF6534"/>
    <w:rsid w:val="00F0163A"/>
    <w:rsid w:val="00F14F5D"/>
    <w:rsid w:val="00F163AB"/>
    <w:rsid w:val="00F165BC"/>
    <w:rsid w:val="00F22283"/>
    <w:rsid w:val="00F27B5E"/>
    <w:rsid w:val="00F3359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80FB-9B59-4CAC-9DB5-546C0CB3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1553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2021-03-19T15:13:00Z</cp:lastPrinted>
  <dcterms:created xsi:type="dcterms:W3CDTF">2022-02-04T16:22:00Z</dcterms:created>
  <dcterms:modified xsi:type="dcterms:W3CDTF">2022-02-07T16:43:00Z</dcterms:modified>
</cp:coreProperties>
</file>