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1DE6" w14:textId="6CB15D84" w:rsidR="00AC5968" w:rsidRPr="00AC5968" w:rsidRDefault="00AC5968" w:rsidP="00AC5968">
      <w:pPr>
        <w:tabs>
          <w:tab w:val="left" w:pos="567"/>
          <w:tab w:val="left" w:pos="2693"/>
        </w:tabs>
        <w:spacing w:after="0" w:line="240" w:lineRule="auto"/>
        <w:ind w:left="2693" w:hanging="2693"/>
        <w:jc w:val="both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  <w:r w:rsidRPr="00AC5968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RESOLUÇÃO Nº 10, DE </w:t>
      </w:r>
      <w:r>
        <w:rPr>
          <w:rFonts w:ascii="Arial" w:hAnsi="Arial" w:cs="Arial"/>
          <w:b/>
          <w:iCs/>
          <w:color w:val="000000"/>
          <w:sz w:val="24"/>
          <w:szCs w:val="24"/>
          <w:u w:val="single"/>
        </w:rPr>
        <w:t>23</w:t>
      </w:r>
      <w:r w:rsidRPr="00AC5968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 DE NOVEMBRO DE 2021.</w:t>
      </w:r>
    </w:p>
    <w:p w14:paraId="22899CCF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ind w:left="2693" w:hanging="2693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00AE8D37" w14:textId="442B991D" w:rsidR="001D70DD" w:rsidRPr="00AC5968" w:rsidRDefault="00AC5968" w:rsidP="00AC5968">
      <w:pPr>
        <w:tabs>
          <w:tab w:val="left" w:pos="567"/>
          <w:tab w:val="left" w:pos="2693"/>
        </w:tabs>
        <w:spacing w:after="0" w:line="360" w:lineRule="auto"/>
        <w:ind w:left="2693" w:hanging="2693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AC5968">
        <w:rPr>
          <w:rFonts w:ascii="Arial" w:hAnsi="Arial" w:cs="Arial"/>
          <w:b/>
          <w:i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iCs/>
          <w:color w:val="000000"/>
          <w:sz w:val="24"/>
          <w:szCs w:val="24"/>
        </w:rPr>
        <w:tab/>
        <w:t>Dispõe sobre a extinçã</w:t>
      </w:r>
      <w:bookmarkStart w:id="0" w:name="_GoBack"/>
      <w:bookmarkEnd w:id="0"/>
      <w:r w:rsidRPr="00AC5968">
        <w:rPr>
          <w:rFonts w:ascii="Arial" w:hAnsi="Arial" w:cs="Arial"/>
          <w:b/>
          <w:iCs/>
          <w:color w:val="000000"/>
          <w:sz w:val="24"/>
          <w:szCs w:val="24"/>
        </w:rPr>
        <w:t>o dos cargos de “Assessor de Gabinete de Vereador” e dá novas providências para atender as recomendações dos órgãos de fiscalização na forma que disciplina</w:t>
      </w:r>
      <w:r w:rsidR="00893448" w:rsidRPr="00AC5968">
        <w:rPr>
          <w:rFonts w:ascii="Arial" w:hAnsi="Arial" w:cs="Arial"/>
          <w:b/>
          <w:iCs/>
          <w:color w:val="000000"/>
          <w:sz w:val="24"/>
          <w:szCs w:val="24"/>
        </w:rPr>
        <w:t>.</w:t>
      </w:r>
    </w:p>
    <w:p w14:paraId="3CFB7804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551589B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C0E7E1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F7C965" w14:textId="15AB279A" w:rsid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color w:val="000000"/>
          <w:sz w:val="24"/>
          <w:szCs w:val="24"/>
        </w:rPr>
        <w:tab/>
      </w:r>
      <w:r w:rsidRPr="00AC5968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FRANKLIN DUARTE DE LIMA</w:t>
      </w:r>
      <w:r>
        <w:rPr>
          <w:rFonts w:ascii="Arial" w:hAnsi="Arial" w:cs="Arial"/>
          <w:color w:val="000000"/>
          <w:sz w:val="24"/>
          <w:szCs w:val="24"/>
        </w:rPr>
        <w:t>, Presidente da Câmara Municipal de Valinhos, no uso das atribuições que lhe são conferidas pelo art. 58, parágrafo único, da Lei Orgânica do Município,</w:t>
      </w:r>
    </w:p>
    <w:p w14:paraId="763C1433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7C981D4" w14:textId="1606264B" w:rsidR="00AC5968" w:rsidRP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C5968">
        <w:rPr>
          <w:rFonts w:ascii="Arial" w:hAnsi="Arial" w:cs="Arial"/>
          <w:b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promulga a seguinte Resolução: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2C691FE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AE8D39" w14:textId="2B87A9CE" w:rsidR="001D70DD" w:rsidRP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 xml:space="preserve">Art. 1º. 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 xml:space="preserve">A partir de </w:t>
      </w:r>
      <w:r w:rsidR="00E35F97" w:rsidRPr="00AC5968">
        <w:rPr>
          <w:rFonts w:ascii="Arial" w:hAnsi="Arial" w:cs="Arial"/>
          <w:color w:val="000000"/>
          <w:sz w:val="24"/>
          <w:szCs w:val="24"/>
        </w:rPr>
        <w:t>1º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 xml:space="preserve"> de dezembro de 2021, o </w:t>
      </w:r>
      <w:proofErr w:type="gramStart"/>
      <w:r w:rsidR="00893448" w:rsidRPr="00AC5968">
        <w:rPr>
          <w:rFonts w:ascii="Arial" w:hAnsi="Arial" w:cs="Arial"/>
          <w:color w:val="000000"/>
          <w:sz w:val="24"/>
          <w:szCs w:val="24"/>
        </w:rPr>
        <w:t>Cargo</w:t>
      </w:r>
      <w:proofErr w:type="gramEnd"/>
      <w:r w:rsidR="00893448" w:rsidRPr="00AC59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93448" w:rsidRPr="00AC5968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="00893448" w:rsidRPr="00AC5968">
        <w:rPr>
          <w:rFonts w:ascii="Arial" w:hAnsi="Arial" w:cs="Arial"/>
          <w:color w:val="000000"/>
          <w:sz w:val="24"/>
          <w:szCs w:val="24"/>
        </w:rPr>
        <w:t xml:space="preserve"> Assessor de Gabinete de Vereador, previsto na Resolução 04 de 21 de março de 2017, posterior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>mente alterado pela Resolução 06 de 17 de setembro de 2019, ficará declarado extinto de modo a atender o interesse público e as recomendações emanadas do E. Tribunal de Contas do Estado de São Paulo, em conformidade com as disposições aqui constantes.</w:t>
      </w:r>
    </w:p>
    <w:p w14:paraId="7FF1549F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6E4FB1" w14:textId="77777777" w:rsid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>Art</w:t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>. 2</w:t>
      </w:r>
      <w:r w:rsidR="00616596" w:rsidRPr="00AC5968">
        <w:rPr>
          <w:rFonts w:ascii="Arial" w:hAnsi="Arial" w:cs="Arial"/>
          <w:b/>
          <w:bCs/>
          <w:color w:val="000000"/>
          <w:sz w:val="24"/>
          <w:szCs w:val="24"/>
        </w:rPr>
        <w:t>º.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A Presidência da Câmara Municipal</w:t>
      </w:r>
      <w:r w:rsidR="00804045" w:rsidRPr="00AC5968">
        <w:rPr>
          <w:rFonts w:ascii="Arial" w:hAnsi="Arial" w:cs="Arial"/>
          <w:color w:val="000000"/>
          <w:sz w:val="24"/>
          <w:szCs w:val="24"/>
        </w:rPr>
        <w:t>,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atendendo as disposições emergentes desta</w:t>
      </w:r>
      <w:r w:rsidR="007F14D6" w:rsidRPr="00AC5968">
        <w:rPr>
          <w:rFonts w:ascii="Arial" w:hAnsi="Arial" w:cs="Arial"/>
          <w:color w:val="000000"/>
          <w:sz w:val="24"/>
          <w:szCs w:val="24"/>
        </w:rPr>
        <w:t xml:space="preserve"> resolução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>, promoverá a total exoneração dos cargos de “Assessor de Gabinete de Vereador”, dos atuais ocupantes do cargo em questão.</w:t>
      </w:r>
    </w:p>
    <w:p w14:paraId="74CCCD2F" w14:textId="77777777" w:rsid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Cs/>
          <w:color w:val="000000"/>
          <w:sz w:val="24"/>
          <w:szCs w:val="24"/>
        </w:rPr>
        <w:t>§1º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Em razão da necessidade de recomposição do </w:t>
      </w:r>
      <w:r w:rsidR="002D1E91" w:rsidRPr="00AC5968">
        <w:rPr>
          <w:rFonts w:ascii="Arial" w:hAnsi="Arial" w:cs="Arial"/>
          <w:color w:val="000000"/>
          <w:sz w:val="24"/>
          <w:szCs w:val="24"/>
        </w:rPr>
        <w:t>quadro de servidores em comissão, e garantia da continuidade dos trabalhos parlamentares</w:t>
      </w:r>
      <w:r w:rsidR="00804045" w:rsidRPr="00AC5968">
        <w:rPr>
          <w:rFonts w:ascii="Arial" w:hAnsi="Arial" w:cs="Arial"/>
          <w:color w:val="000000"/>
          <w:sz w:val="24"/>
          <w:szCs w:val="24"/>
        </w:rPr>
        <w:t>,</w:t>
      </w:r>
      <w:r w:rsidR="002D1E91" w:rsidRPr="00AC5968">
        <w:rPr>
          <w:rFonts w:ascii="Arial" w:hAnsi="Arial" w:cs="Arial"/>
          <w:color w:val="000000"/>
          <w:sz w:val="24"/>
          <w:szCs w:val="24"/>
        </w:rPr>
        <w:t xml:space="preserve"> 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>fica</w:t>
      </w:r>
      <w:r w:rsidR="00804045" w:rsidRPr="00AC5968">
        <w:rPr>
          <w:rFonts w:ascii="Arial" w:hAnsi="Arial" w:cs="Arial"/>
          <w:color w:val="000000"/>
          <w:sz w:val="24"/>
          <w:szCs w:val="24"/>
        </w:rPr>
        <w:t>m suspensos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por </w:t>
      </w:r>
      <w:r w:rsidR="00017560" w:rsidRPr="00AC5968">
        <w:rPr>
          <w:rFonts w:ascii="Arial" w:hAnsi="Arial" w:cs="Arial"/>
          <w:color w:val="000000"/>
          <w:sz w:val="24"/>
          <w:szCs w:val="24"/>
        </w:rPr>
        <w:t xml:space="preserve">60 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>(</w:t>
      </w:r>
      <w:r w:rsidR="00017560" w:rsidRPr="00AC5968">
        <w:rPr>
          <w:rFonts w:ascii="Arial" w:hAnsi="Arial" w:cs="Arial"/>
          <w:color w:val="000000"/>
          <w:sz w:val="24"/>
          <w:szCs w:val="24"/>
        </w:rPr>
        <w:t>sessenta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>) dias</w:t>
      </w:r>
      <w:r w:rsidR="00804045" w:rsidRPr="00AC5968">
        <w:rPr>
          <w:rFonts w:ascii="Arial" w:hAnsi="Arial" w:cs="Arial"/>
          <w:color w:val="000000"/>
          <w:sz w:val="24"/>
          <w:szCs w:val="24"/>
        </w:rPr>
        <w:t>,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contados </w:t>
      </w:r>
      <w:r w:rsidR="00126307" w:rsidRPr="00AC5968">
        <w:rPr>
          <w:rFonts w:ascii="Arial" w:hAnsi="Arial" w:cs="Arial"/>
          <w:color w:val="000000"/>
          <w:sz w:val="24"/>
          <w:szCs w:val="24"/>
        </w:rPr>
        <w:t xml:space="preserve">a partir de 1º de </w:t>
      </w:r>
      <w:r w:rsidR="000275B9" w:rsidRPr="00AC5968">
        <w:rPr>
          <w:rFonts w:ascii="Arial" w:hAnsi="Arial" w:cs="Arial"/>
          <w:color w:val="000000"/>
          <w:sz w:val="24"/>
          <w:szCs w:val="24"/>
        </w:rPr>
        <w:t>d</w:t>
      </w:r>
      <w:r w:rsidR="00126307" w:rsidRPr="00AC5968">
        <w:rPr>
          <w:rFonts w:ascii="Arial" w:hAnsi="Arial" w:cs="Arial"/>
          <w:color w:val="000000"/>
          <w:sz w:val="24"/>
          <w:szCs w:val="24"/>
        </w:rPr>
        <w:t>ezembro de 2021</w:t>
      </w:r>
      <w:r w:rsidR="00804045" w:rsidRPr="00AC5968">
        <w:rPr>
          <w:rFonts w:ascii="Arial" w:hAnsi="Arial" w:cs="Arial"/>
          <w:color w:val="000000"/>
          <w:sz w:val="24"/>
          <w:szCs w:val="24"/>
        </w:rPr>
        <w:t>,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</w:t>
      </w:r>
      <w:r w:rsidR="00D215A8" w:rsidRPr="00AC5968">
        <w:rPr>
          <w:rFonts w:ascii="Arial" w:hAnsi="Arial" w:cs="Arial"/>
          <w:color w:val="000000"/>
          <w:sz w:val="24"/>
          <w:szCs w:val="24"/>
        </w:rPr>
        <w:t xml:space="preserve">os efeitos das 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medidas vigentes no 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>pa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>rágrafo único do a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rt. 3º do Ato da Mesa nº </w:t>
      </w:r>
      <w:r w:rsidR="00804045" w:rsidRPr="00AC5968">
        <w:rPr>
          <w:rFonts w:ascii="Arial" w:hAnsi="Arial" w:cs="Arial"/>
          <w:color w:val="000000"/>
          <w:sz w:val="24"/>
          <w:szCs w:val="24"/>
        </w:rPr>
        <w:t>0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>1/2017</w:t>
      </w:r>
      <w:r w:rsidR="0069510D" w:rsidRPr="00AC5968">
        <w:rPr>
          <w:rFonts w:ascii="Arial" w:hAnsi="Arial" w:cs="Arial"/>
          <w:color w:val="000000"/>
          <w:sz w:val="24"/>
          <w:szCs w:val="24"/>
        </w:rPr>
        <w:t>.</w:t>
      </w:r>
    </w:p>
    <w:p w14:paraId="00AE8D3B" w14:textId="766B8C5A" w:rsidR="001D70DD" w:rsidRP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Cs/>
          <w:color w:val="000000"/>
          <w:sz w:val="24"/>
          <w:szCs w:val="24"/>
        </w:rPr>
        <w:t>§2º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="00F16978" w:rsidRPr="00AC5968">
        <w:rPr>
          <w:rFonts w:ascii="Arial" w:hAnsi="Arial" w:cs="Arial"/>
          <w:color w:val="000000"/>
          <w:sz w:val="24"/>
          <w:szCs w:val="24"/>
        </w:rPr>
        <w:t xml:space="preserve"> </w:t>
      </w:r>
      <w:r w:rsidR="00AF57F7" w:rsidRPr="00AC5968">
        <w:rPr>
          <w:rFonts w:ascii="Arial" w:hAnsi="Arial" w:cs="Arial"/>
          <w:color w:val="000000"/>
          <w:sz w:val="24"/>
          <w:szCs w:val="24"/>
        </w:rPr>
        <w:t>Para efetivo rompimento do vínculo trabalhista, s</w:t>
      </w:r>
      <w:r w:rsidR="00F16978" w:rsidRPr="00AC5968">
        <w:rPr>
          <w:rFonts w:ascii="Arial" w:hAnsi="Arial" w:cs="Arial"/>
          <w:color w:val="000000"/>
          <w:sz w:val="24"/>
          <w:szCs w:val="24"/>
        </w:rPr>
        <w:t xml:space="preserve">erá, </w:t>
      </w:r>
      <w:r w:rsidR="002D1E91" w:rsidRPr="00AC5968">
        <w:rPr>
          <w:rFonts w:ascii="Arial" w:hAnsi="Arial" w:cs="Arial"/>
          <w:color w:val="000000"/>
          <w:sz w:val="24"/>
          <w:szCs w:val="24"/>
        </w:rPr>
        <w:t>contudo, respeitado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o </w:t>
      </w:r>
      <w:r w:rsidR="00AF57F7" w:rsidRPr="00AC5968">
        <w:rPr>
          <w:rFonts w:ascii="Arial" w:hAnsi="Arial" w:cs="Arial"/>
          <w:color w:val="000000"/>
          <w:sz w:val="24"/>
          <w:szCs w:val="24"/>
        </w:rPr>
        <w:t xml:space="preserve">interstício mínimo de </w:t>
      </w:r>
      <w:r w:rsidR="002D1E91" w:rsidRPr="00AC5968">
        <w:rPr>
          <w:rFonts w:ascii="Arial" w:hAnsi="Arial" w:cs="Arial"/>
          <w:color w:val="000000"/>
          <w:sz w:val="24"/>
          <w:szCs w:val="24"/>
        </w:rPr>
        <w:t>45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(</w:t>
      </w:r>
      <w:r w:rsidR="002D1E91" w:rsidRPr="00AC5968">
        <w:rPr>
          <w:rFonts w:ascii="Arial" w:hAnsi="Arial" w:cs="Arial"/>
          <w:color w:val="000000"/>
          <w:sz w:val="24"/>
          <w:szCs w:val="24"/>
        </w:rPr>
        <w:t>quarenta e cinco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) dias entre a efetivação da exoneração e </w:t>
      </w:r>
      <w:r w:rsidR="00AF57F7" w:rsidRPr="00AC5968">
        <w:rPr>
          <w:rFonts w:ascii="Arial" w:hAnsi="Arial" w:cs="Arial"/>
          <w:color w:val="000000"/>
          <w:sz w:val="24"/>
          <w:szCs w:val="24"/>
        </w:rPr>
        <w:t xml:space="preserve">nova 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>nomeação para os cargos ora criados.</w:t>
      </w:r>
    </w:p>
    <w:p w14:paraId="52E5175C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AE8D3D" w14:textId="083662FA" w:rsidR="001D70DD" w:rsidRP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>Art. 3</w:t>
      </w:r>
      <w:r w:rsidR="00616596" w:rsidRPr="00AC5968">
        <w:rPr>
          <w:rFonts w:ascii="Arial" w:hAnsi="Arial" w:cs="Arial"/>
          <w:b/>
          <w:bCs/>
          <w:color w:val="000000"/>
          <w:sz w:val="24"/>
          <w:szCs w:val="24"/>
        </w:rPr>
        <w:t>º.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É inserido no quadro geral de pessoal, composto por cargos de provimento em comissão e dos cargos de provimento efetivo, disciplinados na Resolução nº </w:t>
      </w:r>
      <w:r w:rsidR="00804045" w:rsidRPr="00AC5968">
        <w:rPr>
          <w:rFonts w:ascii="Arial" w:hAnsi="Arial" w:cs="Arial"/>
          <w:color w:val="000000"/>
          <w:sz w:val="24"/>
          <w:szCs w:val="24"/>
        </w:rPr>
        <w:t>0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>4 de 21 de março de 2017, e posteriores alterações os seguintes cargos:</w:t>
      </w:r>
    </w:p>
    <w:p w14:paraId="00AE8D3E" w14:textId="77777777" w:rsidR="001D70DD" w:rsidRPr="00AC5968" w:rsidRDefault="00893448" w:rsidP="00AC5968">
      <w:pPr>
        <w:pStyle w:val="PargrafodaLista"/>
        <w:numPr>
          <w:ilvl w:val="0"/>
          <w:numId w:val="1"/>
        </w:numPr>
        <w:tabs>
          <w:tab w:val="clear" w:pos="0"/>
          <w:tab w:val="left" w:pos="567"/>
          <w:tab w:val="left" w:pos="2693"/>
        </w:tabs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color w:val="000000"/>
          <w:sz w:val="24"/>
          <w:szCs w:val="24"/>
        </w:rPr>
        <w:t>Chefe de Gabinete de Vereador</w:t>
      </w:r>
    </w:p>
    <w:p w14:paraId="00AE8D3F" w14:textId="77777777" w:rsidR="001D70DD" w:rsidRPr="00AC5968" w:rsidRDefault="00893448" w:rsidP="00AC5968">
      <w:pPr>
        <w:pStyle w:val="PargrafodaLista"/>
        <w:numPr>
          <w:ilvl w:val="0"/>
          <w:numId w:val="1"/>
        </w:numPr>
        <w:tabs>
          <w:tab w:val="clear" w:pos="0"/>
          <w:tab w:val="left" w:pos="567"/>
          <w:tab w:val="left" w:pos="2693"/>
        </w:tabs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color w:val="000000"/>
          <w:sz w:val="24"/>
          <w:szCs w:val="24"/>
        </w:rPr>
        <w:t>Assessor Parlamentar</w:t>
      </w:r>
    </w:p>
    <w:p w14:paraId="00AE8D40" w14:textId="77777777" w:rsidR="001D70DD" w:rsidRPr="00AC5968" w:rsidRDefault="00893448" w:rsidP="00AC5968">
      <w:pPr>
        <w:pStyle w:val="PargrafodaLista"/>
        <w:numPr>
          <w:ilvl w:val="0"/>
          <w:numId w:val="1"/>
        </w:numPr>
        <w:tabs>
          <w:tab w:val="clear" w:pos="0"/>
          <w:tab w:val="left" w:pos="567"/>
          <w:tab w:val="left" w:pos="2693"/>
        </w:tabs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color w:val="000000"/>
          <w:sz w:val="24"/>
          <w:szCs w:val="24"/>
        </w:rPr>
        <w:t>Assessor de Políticas Públicas;</w:t>
      </w:r>
    </w:p>
    <w:p w14:paraId="3FF353CA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AE8D42" w14:textId="2A42E751" w:rsidR="001D70DD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>Art. 4º</w:t>
      </w:r>
      <w:r w:rsidR="00616596" w:rsidRPr="00AC596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Fica excluído do item “1.1 Cargos em Comissão” constante no “Anexo I - Quadro Geral De Pessoal”, objeto da Resolução 04 de 21 de março de 2017 e posteriores alterações, o descritivo do cargo de “Assessor de Gabinete de Vereador”, criando-se, na mesma oportunidade, os seguintes cargos com respectivos descritivos:</w:t>
      </w:r>
    </w:p>
    <w:p w14:paraId="16F45095" w14:textId="77777777" w:rsidR="00AC5968" w:rsidRP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CABB27" w14:textId="77777777" w:rsidR="00AC5968" w:rsidRPr="00AC5968" w:rsidRDefault="00AC5968" w:rsidP="00AC5968">
      <w:pPr>
        <w:spacing w:after="0" w:line="360" w:lineRule="auto"/>
        <w:ind w:left="567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 w:rsidRPr="00AC5968">
        <w:rPr>
          <w:rFonts w:ascii="Arial" w:eastAsia="Calibri" w:hAnsi="Arial" w:cs="Arial"/>
          <w:b/>
          <w:bCs/>
          <w:sz w:val="24"/>
          <w:szCs w:val="24"/>
        </w:rPr>
        <w:t>“CHEFE DE GABINETE DE VEREADOR:</w:t>
      </w:r>
    </w:p>
    <w:p w14:paraId="6D7A8F3F" w14:textId="77777777" w:rsidR="00AC5968" w:rsidRPr="00AC5968" w:rsidRDefault="00AC5968" w:rsidP="00AC5968">
      <w:pPr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proofErr w:type="gramEnd"/>
      <w:r w:rsidRPr="00AC5968">
        <w:rPr>
          <w:rFonts w:ascii="Arial" w:eastAsia="Calibri" w:hAnsi="Arial" w:cs="Arial"/>
          <w:sz w:val="24"/>
          <w:szCs w:val="24"/>
        </w:rPr>
        <w:t xml:space="preserve">a) Coordenar as atividades do gabinete; planejar e coordenar, por determinação do titular do gabinete, as respectivas ações legislativas e políticas; </w:t>
      </w:r>
    </w:p>
    <w:p w14:paraId="11D65A0D" w14:textId="77777777" w:rsidR="00AC5968" w:rsidRPr="00AC5968" w:rsidRDefault="00AC5968" w:rsidP="00AC5968">
      <w:pPr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>b) Definir prioridades e forma de encaminhamento para o atendimento às demandas políticas;</w:t>
      </w:r>
    </w:p>
    <w:p w14:paraId="6749696E" w14:textId="77777777" w:rsidR="00AC5968" w:rsidRPr="00AC5968" w:rsidRDefault="00AC5968" w:rsidP="00AC5968">
      <w:pPr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>c) Realizar interlocução com os demais gabinetes, o corpo técnico de servidores da Câmara de acordo com a orientação política do titular do gabinete;</w:t>
      </w:r>
    </w:p>
    <w:p w14:paraId="065E9075" w14:textId="77777777" w:rsidR="00AC5968" w:rsidRPr="00AC5968" w:rsidRDefault="00AC5968" w:rsidP="00AC5968">
      <w:pPr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 xml:space="preserve">d) Prestar assistência política e estratégica ao parlamentar a que estará vinculado, nas questões de sua área de atuação ou de conhecimento; </w:t>
      </w:r>
    </w:p>
    <w:p w14:paraId="74D896C4" w14:textId="77777777" w:rsidR="00AC5968" w:rsidRPr="00AC5968" w:rsidRDefault="00AC5968" w:rsidP="00AC5968">
      <w:pPr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>e) Desempenhar atividades de coordenação político-representativa;</w:t>
      </w:r>
    </w:p>
    <w:p w14:paraId="341CDB3C" w14:textId="77777777" w:rsidR="00AC5968" w:rsidRPr="00AC5968" w:rsidRDefault="00AC5968" w:rsidP="00AC5968">
      <w:pPr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lastRenderedPageBreak/>
        <w:t>f) Demais atribuições designadas pelo parlamentar para bem atender as demandas.</w:t>
      </w:r>
    </w:p>
    <w:p w14:paraId="52135434" w14:textId="77777777" w:rsidR="00AC5968" w:rsidRPr="00AC5968" w:rsidRDefault="00AC5968" w:rsidP="00AC5968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14:paraId="4A922CB3" w14:textId="77777777" w:rsidR="00AC5968" w:rsidRPr="00AC5968" w:rsidRDefault="00AC5968" w:rsidP="00AC5968">
      <w:pPr>
        <w:spacing w:after="0" w:line="360" w:lineRule="auto"/>
        <w:ind w:left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ab/>
      </w:r>
      <w:r w:rsidRPr="00AC5968">
        <w:rPr>
          <w:rFonts w:ascii="Arial" w:eastAsia="Calibri" w:hAnsi="Arial" w:cs="Arial"/>
          <w:b/>
          <w:bCs/>
          <w:sz w:val="24"/>
          <w:szCs w:val="24"/>
        </w:rPr>
        <w:t>ASSESSOR PARLAMENTAR:</w:t>
      </w:r>
    </w:p>
    <w:p w14:paraId="64C9B8C0" w14:textId="77777777" w:rsidR="00AC5968" w:rsidRPr="00AC5968" w:rsidRDefault="00AC5968" w:rsidP="00AC5968">
      <w:pPr>
        <w:numPr>
          <w:ilvl w:val="0"/>
          <w:numId w:val="3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>Responsável pelo atendimento à comunicação externa da unidade parlamentar ao qual estiver vinculado através dos diversos veículos de comunicação, organização e conservação de</w:t>
      </w:r>
      <w:proofErr w:type="gramStart"/>
      <w:r w:rsidRPr="00AC5968">
        <w:rPr>
          <w:rFonts w:ascii="Arial" w:eastAsia="Calibri" w:hAnsi="Arial" w:cs="Arial"/>
          <w:sz w:val="24"/>
          <w:szCs w:val="24"/>
        </w:rPr>
        <w:t xml:space="preserve">  </w:t>
      </w:r>
      <w:proofErr w:type="gramEnd"/>
      <w:r w:rsidRPr="00AC5968">
        <w:rPr>
          <w:rFonts w:ascii="Arial" w:eastAsia="Calibri" w:hAnsi="Arial" w:cs="Arial"/>
          <w:sz w:val="24"/>
          <w:szCs w:val="24"/>
        </w:rPr>
        <w:t xml:space="preserve">arquivo jornalístico, </w:t>
      </w:r>
    </w:p>
    <w:p w14:paraId="29C182E8" w14:textId="77777777" w:rsidR="00AC5968" w:rsidRPr="00AC5968" w:rsidRDefault="00AC5968" w:rsidP="00AC5968">
      <w:pPr>
        <w:numPr>
          <w:ilvl w:val="0"/>
          <w:numId w:val="3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>Pesquisa de dados e informações e notícias, coleta além do levantamento e pesquisa de temas associados à atuação do parlamentar;</w:t>
      </w:r>
    </w:p>
    <w:p w14:paraId="7FC7B9FF" w14:textId="77777777" w:rsidR="00AC5968" w:rsidRPr="00AC5968" w:rsidRDefault="00AC5968" w:rsidP="00AC5968">
      <w:pPr>
        <w:numPr>
          <w:ilvl w:val="0"/>
          <w:numId w:val="3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 xml:space="preserve">Receber as demandas e atendimento público quando assim designado pelo vereador, ou nos casos em que esse não possa estar presente. </w:t>
      </w:r>
    </w:p>
    <w:p w14:paraId="2C3762ED" w14:textId="77777777" w:rsidR="00AC5968" w:rsidRPr="00AC5968" w:rsidRDefault="00AC5968" w:rsidP="00AC5968">
      <w:pPr>
        <w:numPr>
          <w:ilvl w:val="0"/>
          <w:numId w:val="3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 xml:space="preserve">Sugerir medidas para melhoria da execução das atividades parlamentares e administrativas; </w:t>
      </w:r>
    </w:p>
    <w:p w14:paraId="63DAD82A" w14:textId="77777777" w:rsidR="00AC5968" w:rsidRPr="00AC5968" w:rsidRDefault="00AC5968" w:rsidP="00AC5968">
      <w:pPr>
        <w:numPr>
          <w:ilvl w:val="0"/>
          <w:numId w:val="3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 xml:space="preserve">Representar o parlamentar perante autoridades e demais representantes da sociedade civil em audiências e reuniões; </w:t>
      </w:r>
    </w:p>
    <w:p w14:paraId="5DA3BAB1" w14:textId="77777777" w:rsidR="00AC5968" w:rsidRPr="00AC5968" w:rsidRDefault="00AC5968" w:rsidP="00AC5968">
      <w:pPr>
        <w:numPr>
          <w:ilvl w:val="0"/>
          <w:numId w:val="3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>Prestar assistência na administração do gabinete parlamentar.</w:t>
      </w:r>
    </w:p>
    <w:p w14:paraId="6D3E06AB" w14:textId="77777777" w:rsidR="00AC5968" w:rsidRPr="00AC5968" w:rsidRDefault="00AC5968" w:rsidP="00AC5968">
      <w:pPr>
        <w:numPr>
          <w:ilvl w:val="0"/>
          <w:numId w:val="3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>Demais atribuições designadas pelo parlamentar para bem atender as demandas.</w:t>
      </w:r>
    </w:p>
    <w:p w14:paraId="7F92BD50" w14:textId="77777777" w:rsidR="00AC5968" w:rsidRPr="00AC5968" w:rsidRDefault="00AC5968" w:rsidP="00AC5968">
      <w:pPr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14:paraId="3B75952F" w14:textId="77777777" w:rsidR="00AC5968" w:rsidRPr="00AC5968" w:rsidRDefault="00AC5968" w:rsidP="00AC5968">
      <w:pPr>
        <w:spacing w:after="0" w:line="360" w:lineRule="auto"/>
        <w:ind w:left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C5968">
        <w:rPr>
          <w:rFonts w:ascii="Arial" w:eastAsia="Calibri" w:hAnsi="Arial" w:cs="Arial"/>
          <w:b/>
          <w:bCs/>
          <w:sz w:val="24"/>
          <w:szCs w:val="24"/>
        </w:rPr>
        <w:t>ASSESSOR DE POLÍTICAS PÚBLICAS:</w:t>
      </w:r>
    </w:p>
    <w:p w14:paraId="28E8EDF0" w14:textId="77777777" w:rsidR="00AC5968" w:rsidRPr="00AC5968" w:rsidRDefault="00AC5968" w:rsidP="00AC5968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C5968">
        <w:rPr>
          <w:rFonts w:ascii="Arial" w:eastAsia="Calibri" w:hAnsi="Arial" w:cs="Arial"/>
          <w:sz w:val="24"/>
          <w:szCs w:val="24"/>
        </w:rPr>
        <w:t xml:space="preserve">Responsável pelo acompanhamento e assessoramento do Parlamentar nas atividades externas representativas do mandato, representando o titular do mandato eletivo, bem como pelo agendamento de audiências com autoridades e reuniões com demais representantes da sociedade civil; </w:t>
      </w:r>
    </w:p>
    <w:p w14:paraId="0AFCDD11" w14:textId="77777777" w:rsidR="00AC5968" w:rsidRPr="00AC5968" w:rsidRDefault="00AC5968" w:rsidP="00AC5968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C5968">
        <w:rPr>
          <w:rFonts w:ascii="Arial" w:eastAsia="Calibri" w:hAnsi="Arial" w:cs="Arial"/>
          <w:sz w:val="24"/>
          <w:szCs w:val="24"/>
        </w:rPr>
        <w:t>Assistir o parlamentar nas suas atividades legislativas, manter atualizadas as informações do mandato nas redes sociais e demais plataformas digitais.”</w:t>
      </w:r>
      <w:proofErr w:type="gramEnd"/>
    </w:p>
    <w:p w14:paraId="21B99697" w14:textId="4CA6A493" w:rsidR="00AC5968" w:rsidRPr="00AC5968" w:rsidRDefault="00AC5968" w:rsidP="00AC5968">
      <w:pPr>
        <w:numPr>
          <w:ilvl w:val="0"/>
          <w:numId w:val="2"/>
        </w:numPr>
        <w:spacing w:after="0" w:line="360" w:lineRule="auto"/>
        <w:ind w:left="567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C5968">
        <w:rPr>
          <w:rFonts w:ascii="Arial" w:eastAsia="Calibri" w:hAnsi="Arial" w:cs="Arial"/>
          <w:sz w:val="24"/>
          <w:szCs w:val="24"/>
        </w:rPr>
        <w:t>Demais atribuições designadas pelo parlamentar para bem atender as demandas.</w:t>
      </w:r>
      <w:r>
        <w:rPr>
          <w:rFonts w:ascii="Arial" w:eastAsia="Calibri" w:hAnsi="Arial" w:cs="Arial"/>
          <w:sz w:val="24"/>
          <w:szCs w:val="24"/>
        </w:rPr>
        <w:t>”</w:t>
      </w:r>
      <w:proofErr w:type="gramEnd"/>
    </w:p>
    <w:p w14:paraId="03DB9A31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AE8D67" w14:textId="08CC26FB" w:rsidR="001D70DD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>Art. 5</w:t>
      </w:r>
      <w:r w:rsidR="00616596" w:rsidRPr="00AC5968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>. Fica excluído do Anexo II – Quadro de Pessoal, item A “Cargos de Provimento em Comissão” o item “Assessor de Gabinete de Vereador”, inserindo-se no respectivo quadro os seguintes cargos e descritivos gerais:</w:t>
      </w:r>
    </w:p>
    <w:p w14:paraId="19FBB17B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8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14"/>
        <w:gridCol w:w="850"/>
        <w:gridCol w:w="1418"/>
        <w:gridCol w:w="1134"/>
        <w:gridCol w:w="1276"/>
        <w:gridCol w:w="1984"/>
      </w:tblGrid>
      <w:tr w:rsidR="00AC5968" w:rsidRPr="00AC5968" w14:paraId="4F49D938" w14:textId="77777777" w:rsidTr="00AC5968">
        <w:trPr>
          <w:trHeight w:val="680"/>
        </w:trPr>
        <w:tc>
          <w:tcPr>
            <w:tcW w:w="1814" w:type="dxa"/>
            <w:vAlign w:val="center"/>
          </w:tcPr>
          <w:p w14:paraId="5BD8E824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DENOMINAÇÃO DO CARGO</w:t>
            </w:r>
          </w:p>
        </w:tc>
        <w:tc>
          <w:tcPr>
            <w:tcW w:w="850" w:type="dxa"/>
            <w:vAlign w:val="center"/>
          </w:tcPr>
          <w:p w14:paraId="2B4EA5DD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1418" w:type="dxa"/>
            <w:vAlign w:val="center"/>
          </w:tcPr>
          <w:p w14:paraId="033DE1A3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REFERÊNCIA</w:t>
            </w:r>
          </w:p>
        </w:tc>
        <w:tc>
          <w:tcPr>
            <w:tcW w:w="1134" w:type="dxa"/>
            <w:vAlign w:val="center"/>
          </w:tcPr>
          <w:p w14:paraId="7805CF3A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CARGA HORÁRIA</w:t>
            </w:r>
          </w:p>
        </w:tc>
        <w:tc>
          <w:tcPr>
            <w:tcW w:w="1276" w:type="dxa"/>
            <w:vAlign w:val="center"/>
          </w:tcPr>
          <w:p w14:paraId="11EBD9F0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LOTAÇÃO</w:t>
            </w:r>
          </w:p>
        </w:tc>
        <w:tc>
          <w:tcPr>
            <w:tcW w:w="1984" w:type="dxa"/>
            <w:vAlign w:val="center"/>
          </w:tcPr>
          <w:p w14:paraId="20148BF4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REQUISITOS PARA PROVIMENTO</w:t>
            </w:r>
          </w:p>
        </w:tc>
      </w:tr>
      <w:tr w:rsidR="00AC5968" w:rsidRPr="00AC5968" w14:paraId="7A46950D" w14:textId="77777777" w:rsidTr="00AC5968">
        <w:trPr>
          <w:trHeight w:val="680"/>
        </w:trPr>
        <w:tc>
          <w:tcPr>
            <w:tcW w:w="1814" w:type="dxa"/>
            <w:vAlign w:val="center"/>
          </w:tcPr>
          <w:p w14:paraId="5F1F216B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Chefe de Gabinete do Vereador</w:t>
            </w:r>
          </w:p>
        </w:tc>
        <w:tc>
          <w:tcPr>
            <w:tcW w:w="850" w:type="dxa"/>
            <w:vAlign w:val="center"/>
          </w:tcPr>
          <w:p w14:paraId="4851EB2D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14:paraId="09B7E701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hAnsi="Arial" w:cs="Arial"/>
                <w:sz w:val="18"/>
                <w:szCs w:val="18"/>
              </w:rPr>
              <w:t>CC1B</w:t>
            </w:r>
          </w:p>
        </w:tc>
        <w:tc>
          <w:tcPr>
            <w:tcW w:w="1134" w:type="dxa"/>
            <w:vAlign w:val="center"/>
          </w:tcPr>
          <w:p w14:paraId="6F25DA0B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A2AB92E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Gabinete da Presidência</w:t>
            </w:r>
          </w:p>
        </w:tc>
        <w:tc>
          <w:tcPr>
            <w:tcW w:w="1984" w:type="dxa"/>
            <w:vAlign w:val="center"/>
          </w:tcPr>
          <w:p w14:paraId="740EE3D0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Ensino Superior completo</w:t>
            </w:r>
          </w:p>
        </w:tc>
      </w:tr>
      <w:tr w:rsidR="00AC5968" w:rsidRPr="00AC5968" w14:paraId="100FE8B1" w14:textId="77777777" w:rsidTr="00AC5968">
        <w:trPr>
          <w:trHeight w:val="680"/>
        </w:trPr>
        <w:tc>
          <w:tcPr>
            <w:tcW w:w="1814" w:type="dxa"/>
            <w:vAlign w:val="center"/>
          </w:tcPr>
          <w:p w14:paraId="00D1028C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Assessor Parlamentar</w:t>
            </w:r>
          </w:p>
        </w:tc>
        <w:tc>
          <w:tcPr>
            <w:tcW w:w="850" w:type="dxa"/>
            <w:vAlign w:val="center"/>
          </w:tcPr>
          <w:p w14:paraId="6D5B5AD8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14:paraId="64B91431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hAnsi="Arial" w:cs="Arial"/>
                <w:sz w:val="18"/>
                <w:szCs w:val="18"/>
              </w:rPr>
              <w:t>CC2</w:t>
            </w:r>
          </w:p>
        </w:tc>
        <w:tc>
          <w:tcPr>
            <w:tcW w:w="1134" w:type="dxa"/>
            <w:vAlign w:val="center"/>
          </w:tcPr>
          <w:p w14:paraId="2B488D9E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96DBCDE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Gabinete da Presidência</w:t>
            </w:r>
          </w:p>
        </w:tc>
        <w:tc>
          <w:tcPr>
            <w:tcW w:w="1984" w:type="dxa"/>
            <w:vAlign w:val="center"/>
          </w:tcPr>
          <w:p w14:paraId="21F35BA7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Ensino Médio completo</w:t>
            </w:r>
          </w:p>
        </w:tc>
      </w:tr>
      <w:tr w:rsidR="00AC5968" w:rsidRPr="00AC5968" w14:paraId="7A957911" w14:textId="77777777" w:rsidTr="00AC5968">
        <w:trPr>
          <w:trHeight w:val="680"/>
        </w:trPr>
        <w:tc>
          <w:tcPr>
            <w:tcW w:w="1814" w:type="dxa"/>
            <w:vAlign w:val="center"/>
          </w:tcPr>
          <w:p w14:paraId="4D5E8BAB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Assessor de Políticas Públicas</w:t>
            </w:r>
          </w:p>
        </w:tc>
        <w:tc>
          <w:tcPr>
            <w:tcW w:w="850" w:type="dxa"/>
            <w:vAlign w:val="center"/>
          </w:tcPr>
          <w:p w14:paraId="3F20EFE5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418" w:type="dxa"/>
            <w:vAlign w:val="center"/>
          </w:tcPr>
          <w:p w14:paraId="6D9FF6AF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hAnsi="Arial" w:cs="Arial"/>
                <w:sz w:val="18"/>
                <w:szCs w:val="18"/>
              </w:rPr>
              <w:t>CC3</w:t>
            </w:r>
          </w:p>
        </w:tc>
        <w:tc>
          <w:tcPr>
            <w:tcW w:w="1134" w:type="dxa"/>
            <w:vAlign w:val="center"/>
          </w:tcPr>
          <w:p w14:paraId="2CC79741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0025FE0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Gabinete da Presidência</w:t>
            </w:r>
          </w:p>
        </w:tc>
        <w:tc>
          <w:tcPr>
            <w:tcW w:w="1984" w:type="dxa"/>
            <w:vAlign w:val="center"/>
          </w:tcPr>
          <w:p w14:paraId="7624BDE2" w14:textId="77777777" w:rsidR="00AC5968" w:rsidRPr="00AC5968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5968">
              <w:rPr>
                <w:rFonts w:ascii="Arial" w:eastAsia="Calibri" w:hAnsi="Arial" w:cs="Arial"/>
                <w:sz w:val="18"/>
                <w:szCs w:val="18"/>
              </w:rPr>
              <w:t>Ensino Médio completo</w:t>
            </w:r>
          </w:p>
        </w:tc>
      </w:tr>
    </w:tbl>
    <w:p w14:paraId="67D46FFB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2F2B1C" w14:textId="2F865D04" w:rsidR="00356C33" w:rsidRP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>Art. 6º.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 xml:space="preserve"> Fica excluído do quadro constante no Anexo IV da </w:t>
      </w:r>
      <w:r w:rsidR="00DC5A3F" w:rsidRPr="00AC5968">
        <w:rPr>
          <w:rFonts w:ascii="Arial" w:hAnsi="Arial" w:cs="Arial"/>
          <w:color w:val="000000"/>
          <w:sz w:val="24"/>
          <w:szCs w:val="24"/>
        </w:rPr>
        <w:t>R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>esolução 04/2017 o cargo “Assessor de Gabinete de Vereador”, criando-se na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 xml:space="preserve"> mesma oportunidade os cargos abaixo especificados, mantendo-se as demais disposições vigentes:</w:t>
      </w:r>
    </w:p>
    <w:p w14:paraId="3CD208A9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66F0FC" w14:textId="77777777" w:rsidR="00AC5968" w:rsidRPr="00C11F6A" w:rsidRDefault="00AC5968" w:rsidP="00AC5968">
      <w:pPr>
        <w:spacing w:line="240" w:lineRule="auto"/>
        <w:ind w:firstLine="1701"/>
        <w:jc w:val="both"/>
        <w:rPr>
          <w:rFonts w:ascii="Arial" w:hAnsi="Arial" w:cs="Arial"/>
          <w:b/>
          <w:bCs/>
          <w:sz w:val="24"/>
          <w:szCs w:val="24"/>
        </w:rPr>
      </w:pPr>
      <w:r w:rsidRPr="00C11F6A">
        <w:rPr>
          <w:rFonts w:ascii="Arial" w:hAnsi="Arial" w:cs="Arial"/>
          <w:b/>
          <w:bCs/>
          <w:sz w:val="24"/>
          <w:szCs w:val="24"/>
        </w:rPr>
        <w:t>I - PRESIDÊNCIA</w:t>
      </w:r>
    </w:p>
    <w:tbl>
      <w:tblPr>
        <w:tblStyle w:val="Tabelacomgrade"/>
        <w:tblW w:w="5702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3752"/>
        <w:gridCol w:w="1950"/>
      </w:tblGrid>
      <w:tr w:rsidR="00AC5968" w:rsidRPr="00804045" w14:paraId="65364509" w14:textId="77777777" w:rsidTr="00A928EC">
        <w:trPr>
          <w:trHeight w:val="510"/>
        </w:trPr>
        <w:tc>
          <w:tcPr>
            <w:tcW w:w="5702" w:type="dxa"/>
            <w:gridSpan w:val="2"/>
            <w:vAlign w:val="center"/>
          </w:tcPr>
          <w:p w14:paraId="6737DD6B" w14:textId="77777777" w:rsidR="00AC5968" w:rsidRPr="00804045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804045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CARGOS EM COMISSÃO</w:t>
            </w:r>
          </w:p>
        </w:tc>
      </w:tr>
      <w:tr w:rsidR="00AC5968" w:rsidRPr="00804045" w14:paraId="0C262AC5" w14:textId="77777777" w:rsidTr="00A928EC">
        <w:trPr>
          <w:trHeight w:val="510"/>
        </w:trPr>
        <w:tc>
          <w:tcPr>
            <w:tcW w:w="3752" w:type="dxa"/>
            <w:vAlign w:val="center"/>
          </w:tcPr>
          <w:p w14:paraId="6E034B13" w14:textId="77777777" w:rsidR="00AC5968" w:rsidRPr="00804045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804045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CARGO</w:t>
            </w:r>
          </w:p>
        </w:tc>
        <w:tc>
          <w:tcPr>
            <w:tcW w:w="1950" w:type="dxa"/>
            <w:vAlign w:val="center"/>
          </w:tcPr>
          <w:p w14:paraId="0F640BD2" w14:textId="77777777" w:rsidR="00AC5968" w:rsidRPr="00804045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804045">
              <w:rPr>
                <w:rFonts w:ascii="Arial" w:eastAsia="Calibri" w:hAnsi="Arial" w:cs="Arial"/>
                <w:b/>
                <w:bCs/>
                <w:sz w:val="24"/>
                <w:szCs w:val="20"/>
              </w:rPr>
              <w:t>QUANTIDADE</w:t>
            </w:r>
          </w:p>
        </w:tc>
      </w:tr>
      <w:tr w:rsidR="00AC5968" w:rsidRPr="00804045" w14:paraId="53E1316D" w14:textId="77777777" w:rsidTr="00A928EC">
        <w:trPr>
          <w:trHeight w:val="510"/>
        </w:trPr>
        <w:tc>
          <w:tcPr>
            <w:tcW w:w="3752" w:type="dxa"/>
            <w:vAlign w:val="center"/>
          </w:tcPr>
          <w:p w14:paraId="2F4372E0" w14:textId="77777777" w:rsidR="00AC5968" w:rsidRPr="00804045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04045">
              <w:rPr>
                <w:rFonts w:ascii="Arial" w:eastAsia="Calibri" w:hAnsi="Arial" w:cs="Arial"/>
                <w:sz w:val="24"/>
                <w:szCs w:val="20"/>
              </w:rPr>
              <w:t>Chefe de Gabinete do Vereador</w:t>
            </w:r>
          </w:p>
        </w:tc>
        <w:tc>
          <w:tcPr>
            <w:tcW w:w="1950" w:type="dxa"/>
            <w:vAlign w:val="center"/>
          </w:tcPr>
          <w:p w14:paraId="499AD4C4" w14:textId="77777777" w:rsidR="00AC5968" w:rsidRPr="00804045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04045">
              <w:rPr>
                <w:rFonts w:ascii="Arial" w:eastAsia="Calibri" w:hAnsi="Arial" w:cs="Arial"/>
                <w:sz w:val="24"/>
                <w:szCs w:val="20"/>
              </w:rPr>
              <w:t>17</w:t>
            </w:r>
          </w:p>
        </w:tc>
      </w:tr>
      <w:tr w:rsidR="00AC5968" w:rsidRPr="00804045" w14:paraId="46207563" w14:textId="77777777" w:rsidTr="00A928EC">
        <w:trPr>
          <w:trHeight w:val="510"/>
        </w:trPr>
        <w:tc>
          <w:tcPr>
            <w:tcW w:w="3752" w:type="dxa"/>
            <w:vAlign w:val="center"/>
          </w:tcPr>
          <w:p w14:paraId="013214B8" w14:textId="77777777" w:rsidR="00AC5968" w:rsidRPr="00804045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04045">
              <w:rPr>
                <w:rFonts w:ascii="Arial" w:eastAsia="Calibri" w:hAnsi="Arial" w:cs="Arial"/>
                <w:sz w:val="24"/>
                <w:szCs w:val="20"/>
              </w:rPr>
              <w:t>Assessor Parlamentar</w:t>
            </w:r>
          </w:p>
        </w:tc>
        <w:tc>
          <w:tcPr>
            <w:tcW w:w="1950" w:type="dxa"/>
            <w:vAlign w:val="center"/>
          </w:tcPr>
          <w:p w14:paraId="79517C74" w14:textId="77777777" w:rsidR="00AC5968" w:rsidRPr="00804045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04045">
              <w:rPr>
                <w:rFonts w:ascii="Arial" w:eastAsia="Calibri" w:hAnsi="Arial" w:cs="Arial"/>
                <w:sz w:val="24"/>
                <w:szCs w:val="20"/>
              </w:rPr>
              <w:t>17</w:t>
            </w:r>
          </w:p>
        </w:tc>
      </w:tr>
      <w:tr w:rsidR="00AC5968" w:rsidRPr="00804045" w14:paraId="3BA6DFA7" w14:textId="77777777" w:rsidTr="00A928EC">
        <w:trPr>
          <w:trHeight w:val="510"/>
        </w:trPr>
        <w:tc>
          <w:tcPr>
            <w:tcW w:w="3752" w:type="dxa"/>
            <w:vAlign w:val="center"/>
          </w:tcPr>
          <w:p w14:paraId="664436F2" w14:textId="77777777" w:rsidR="00AC5968" w:rsidRPr="00804045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04045">
              <w:rPr>
                <w:rFonts w:ascii="Arial" w:eastAsia="Calibri" w:hAnsi="Arial" w:cs="Arial"/>
                <w:sz w:val="24"/>
                <w:szCs w:val="20"/>
              </w:rPr>
              <w:t>Assessor de Políticas Públicas</w:t>
            </w:r>
          </w:p>
        </w:tc>
        <w:tc>
          <w:tcPr>
            <w:tcW w:w="1950" w:type="dxa"/>
            <w:vAlign w:val="center"/>
          </w:tcPr>
          <w:p w14:paraId="61FCD5E7" w14:textId="77777777" w:rsidR="00AC5968" w:rsidRPr="00804045" w:rsidRDefault="00AC5968" w:rsidP="00A928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04045">
              <w:rPr>
                <w:rFonts w:ascii="Arial" w:eastAsia="Calibri" w:hAnsi="Arial" w:cs="Arial"/>
                <w:sz w:val="24"/>
                <w:szCs w:val="20"/>
              </w:rPr>
              <w:t>17</w:t>
            </w:r>
          </w:p>
        </w:tc>
      </w:tr>
    </w:tbl>
    <w:p w14:paraId="60A314EF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19DA0B" w14:textId="77777777" w:rsid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>Art. 7</w:t>
      </w:r>
      <w:r w:rsidR="00021428" w:rsidRPr="00AC5968">
        <w:rPr>
          <w:rFonts w:ascii="Arial" w:hAnsi="Arial" w:cs="Arial"/>
          <w:b/>
          <w:bCs/>
          <w:color w:val="000000"/>
          <w:sz w:val="24"/>
          <w:szCs w:val="24"/>
        </w:rPr>
        <w:t>º.</w:t>
      </w:r>
      <w:r w:rsidR="00021428" w:rsidRPr="00AC5968">
        <w:rPr>
          <w:rFonts w:ascii="Arial" w:hAnsi="Arial" w:cs="Arial"/>
          <w:color w:val="000000"/>
          <w:sz w:val="24"/>
          <w:szCs w:val="24"/>
        </w:rPr>
        <w:t xml:space="preserve"> </w:t>
      </w:r>
      <w:r w:rsidR="006B106D" w:rsidRPr="00AC5968">
        <w:rPr>
          <w:rFonts w:ascii="Arial" w:hAnsi="Arial" w:cs="Arial"/>
          <w:color w:val="000000"/>
          <w:sz w:val="24"/>
          <w:szCs w:val="24"/>
        </w:rPr>
        <w:t xml:space="preserve">A partir de </w:t>
      </w:r>
      <w:r w:rsidR="00021428" w:rsidRPr="00AC5968">
        <w:rPr>
          <w:rFonts w:ascii="Arial" w:hAnsi="Arial" w:cs="Arial"/>
          <w:color w:val="000000"/>
          <w:sz w:val="24"/>
          <w:szCs w:val="24"/>
        </w:rPr>
        <w:t>3</w:t>
      </w:r>
      <w:r w:rsidR="001F3636" w:rsidRPr="00AC5968">
        <w:rPr>
          <w:rFonts w:ascii="Arial" w:hAnsi="Arial" w:cs="Arial"/>
          <w:color w:val="000000"/>
          <w:sz w:val="24"/>
          <w:szCs w:val="24"/>
        </w:rPr>
        <w:t>0</w:t>
      </w:r>
      <w:r w:rsidR="00021428" w:rsidRPr="00AC5968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F3636" w:rsidRPr="00AC5968">
        <w:rPr>
          <w:rFonts w:ascii="Arial" w:hAnsi="Arial" w:cs="Arial"/>
          <w:color w:val="000000"/>
          <w:sz w:val="24"/>
          <w:szCs w:val="24"/>
        </w:rPr>
        <w:t xml:space="preserve">novembro </w:t>
      </w:r>
      <w:r w:rsidR="00021428" w:rsidRPr="00AC5968">
        <w:rPr>
          <w:rFonts w:ascii="Arial" w:hAnsi="Arial" w:cs="Arial"/>
          <w:color w:val="000000"/>
          <w:sz w:val="24"/>
          <w:szCs w:val="24"/>
        </w:rPr>
        <w:t>de 2022, passar-se-á</w:t>
      </w:r>
      <w:r w:rsidR="002473AE" w:rsidRPr="00AC5968">
        <w:rPr>
          <w:rFonts w:ascii="Arial" w:hAnsi="Arial" w:cs="Arial"/>
          <w:color w:val="000000"/>
          <w:sz w:val="24"/>
          <w:szCs w:val="24"/>
        </w:rPr>
        <w:t xml:space="preserve"> </w:t>
      </w:r>
      <w:r w:rsidR="00AC39AE" w:rsidRPr="00AC5968">
        <w:rPr>
          <w:rFonts w:ascii="Arial" w:hAnsi="Arial" w:cs="Arial"/>
          <w:color w:val="000000"/>
          <w:sz w:val="24"/>
          <w:szCs w:val="24"/>
        </w:rPr>
        <w:t xml:space="preserve">a </w:t>
      </w:r>
      <w:r w:rsidR="002473AE" w:rsidRPr="00AC5968">
        <w:rPr>
          <w:rFonts w:ascii="Arial" w:hAnsi="Arial" w:cs="Arial"/>
          <w:color w:val="000000"/>
          <w:sz w:val="24"/>
          <w:szCs w:val="24"/>
        </w:rPr>
        <w:t xml:space="preserve">exigir o diploma de </w:t>
      </w:r>
      <w:r w:rsidR="00021428" w:rsidRPr="00AC5968">
        <w:rPr>
          <w:rFonts w:ascii="Arial" w:hAnsi="Arial" w:cs="Arial"/>
          <w:color w:val="000000"/>
          <w:sz w:val="24"/>
          <w:szCs w:val="24"/>
        </w:rPr>
        <w:t xml:space="preserve">nível superior aos </w:t>
      </w:r>
      <w:r w:rsidR="00952854" w:rsidRPr="00AC5968">
        <w:rPr>
          <w:rFonts w:ascii="Arial" w:hAnsi="Arial" w:cs="Arial"/>
          <w:color w:val="000000"/>
          <w:sz w:val="24"/>
          <w:szCs w:val="24"/>
        </w:rPr>
        <w:t>ocupantes do cargo de</w:t>
      </w:r>
      <w:r w:rsidR="002473AE" w:rsidRPr="00AC5968">
        <w:rPr>
          <w:rFonts w:ascii="Arial" w:hAnsi="Arial" w:cs="Arial"/>
          <w:color w:val="000000"/>
          <w:sz w:val="24"/>
          <w:szCs w:val="24"/>
        </w:rPr>
        <w:t xml:space="preserve"> </w:t>
      </w:r>
      <w:r w:rsidR="00021428" w:rsidRPr="00AC5968">
        <w:rPr>
          <w:rFonts w:ascii="Arial" w:hAnsi="Arial" w:cs="Arial"/>
          <w:color w:val="000000"/>
          <w:sz w:val="24"/>
          <w:szCs w:val="24"/>
        </w:rPr>
        <w:t>Assessor Parlamentar</w:t>
      </w:r>
      <w:r w:rsidR="006B106D" w:rsidRPr="00AC5968">
        <w:rPr>
          <w:rFonts w:ascii="Arial" w:hAnsi="Arial" w:cs="Arial"/>
          <w:color w:val="000000"/>
          <w:sz w:val="24"/>
          <w:szCs w:val="24"/>
        </w:rPr>
        <w:t xml:space="preserve">, </w:t>
      </w:r>
      <w:r w:rsidR="002473AE" w:rsidRPr="00AC5968">
        <w:rPr>
          <w:rFonts w:ascii="Arial" w:hAnsi="Arial" w:cs="Arial"/>
          <w:color w:val="000000"/>
          <w:sz w:val="24"/>
          <w:szCs w:val="24"/>
        </w:rPr>
        <w:t>promovendo-se de ofício as exonerações daqueles que não comprovarem tal condição</w:t>
      </w:r>
      <w:r w:rsidR="00B74193" w:rsidRPr="00AC5968">
        <w:rPr>
          <w:rFonts w:ascii="Arial" w:hAnsi="Arial" w:cs="Arial"/>
          <w:color w:val="000000"/>
          <w:sz w:val="24"/>
          <w:szCs w:val="24"/>
        </w:rPr>
        <w:t>.</w:t>
      </w:r>
    </w:p>
    <w:p w14:paraId="4CB12701" w14:textId="53B15BD5" w:rsidR="00021428" w:rsidRP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Parágrafo </w:t>
      </w:r>
      <w:r w:rsidR="00113558" w:rsidRPr="00AC5968">
        <w:rPr>
          <w:rFonts w:ascii="Arial" w:hAnsi="Arial" w:cs="Arial"/>
          <w:color w:val="000000"/>
          <w:sz w:val="24"/>
          <w:szCs w:val="24"/>
        </w:rPr>
        <w:t>único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13558" w:rsidRPr="00AC5968">
        <w:rPr>
          <w:rFonts w:ascii="Arial" w:hAnsi="Arial" w:cs="Arial"/>
          <w:color w:val="000000"/>
          <w:sz w:val="24"/>
          <w:szCs w:val="24"/>
        </w:rPr>
        <w:t xml:space="preserve"> </w:t>
      </w:r>
      <w:r w:rsidR="00B74193" w:rsidRPr="00AC5968">
        <w:rPr>
          <w:rFonts w:ascii="Arial" w:hAnsi="Arial" w:cs="Arial"/>
          <w:color w:val="000000"/>
          <w:sz w:val="24"/>
          <w:szCs w:val="24"/>
        </w:rPr>
        <w:t>Aos ocupantes do cargo de A</w:t>
      </w:r>
      <w:r w:rsidR="006B106D" w:rsidRPr="00AC5968">
        <w:rPr>
          <w:rFonts w:ascii="Arial" w:hAnsi="Arial" w:cs="Arial"/>
          <w:color w:val="000000"/>
          <w:sz w:val="24"/>
          <w:szCs w:val="24"/>
        </w:rPr>
        <w:t xml:space="preserve">ssessor de </w:t>
      </w:r>
      <w:r w:rsidR="00B74193" w:rsidRPr="00AC5968">
        <w:rPr>
          <w:rFonts w:ascii="Arial" w:hAnsi="Arial" w:cs="Arial"/>
          <w:color w:val="000000"/>
          <w:sz w:val="24"/>
          <w:szCs w:val="24"/>
        </w:rPr>
        <w:t>P</w:t>
      </w:r>
      <w:r w:rsidR="006B106D" w:rsidRPr="00AC5968">
        <w:rPr>
          <w:rFonts w:ascii="Arial" w:hAnsi="Arial" w:cs="Arial"/>
          <w:color w:val="000000"/>
          <w:sz w:val="24"/>
          <w:szCs w:val="24"/>
        </w:rPr>
        <w:t xml:space="preserve">olíticas </w:t>
      </w:r>
      <w:r w:rsidR="00B74193" w:rsidRPr="00AC5968">
        <w:rPr>
          <w:rFonts w:ascii="Arial" w:hAnsi="Arial" w:cs="Arial"/>
          <w:color w:val="000000"/>
          <w:sz w:val="24"/>
          <w:szCs w:val="24"/>
        </w:rPr>
        <w:t>P</w:t>
      </w:r>
      <w:r w:rsidR="006B106D" w:rsidRPr="00AC5968">
        <w:rPr>
          <w:rFonts w:ascii="Arial" w:hAnsi="Arial" w:cs="Arial"/>
          <w:color w:val="000000"/>
          <w:sz w:val="24"/>
          <w:szCs w:val="24"/>
        </w:rPr>
        <w:t xml:space="preserve">úblicas, a </w:t>
      </w:r>
      <w:r w:rsidR="00B74193" w:rsidRPr="00AC5968">
        <w:rPr>
          <w:rFonts w:ascii="Arial" w:hAnsi="Arial" w:cs="Arial"/>
          <w:color w:val="000000"/>
          <w:sz w:val="24"/>
          <w:szCs w:val="24"/>
        </w:rPr>
        <w:t xml:space="preserve">exigência 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 xml:space="preserve">de nível superior passará a ser exigida a partir de </w:t>
      </w:r>
      <w:r w:rsidR="006B106D" w:rsidRPr="00AC5968">
        <w:rPr>
          <w:rFonts w:ascii="Arial" w:hAnsi="Arial" w:cs="Arial"/>
          <w:color w:val="000000"/>
          <w:sz w:val="24"/>
          <w:szCs w:val="24"/>
        </w:rPr>
        <w:t>3</w:t>
      </w:r>
      <w:r w:rsidR="001F3636" w:rsidRPr="00AC5968">
        <w:rPr>
          <w:rFonts w:ascii="Arial" w:hAnsi="Arial" w:cs="Arial"/>
          <w:color w:val="000000"/>
          <w:sz w:val="24"/>
          <w:szCs w:val="24"/>
        </w:rPr>
        <w:t>0</w:t>
      </w:r>
      <w:r w:rsidR="006B106D" w:rsidRPr="00AC5968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F3636" w:rsidRPr="00AC5968">
        <w:rPr>
          <w:rFonts w:ascii="Arial" w:hAnsi="Arial" w:cs="Arial"/>
          <w:color w:val="000000"/>
          <w:sz w:val="24"/>
          <w:szCs w:val="24"/>
        </w:rPr>
        <w:t xml:space="preserve">novembro </w:t>
      </w:r>
      <w:r w:rsidR="006B106D" w:rsidRPr="00AC5968">
        <w:rPr>
          <w:rFonts w:ascii="Arial" w:hAnsi="Arial" w:cs="Arial"/>
          <w:color w:val="000000"/>
          <w:sz w:val="24"/>
          <w:szCs w:val="24"/>
        </w:rPr>
        <w:t>de 2023.</w:t>
      </w:r>
    </w:p>
    <w:p w14:paraId="4F62A94C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AE8D9C" w14:textId="2DD34895" w:rsidR="001D70DD" w:rsidRP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>Art. 8</w:t>
      </w:r>
      <w:r w:rsidR="00616596" w:rsidRPr="00AC5968">
        <w:rPr>
          <w:rFonts w:ascii="Arial" w:hAnsi="Arial" w:cs="Arial"/>
          <w:b/>
          <w:bCs/>
          <w:color w:val="000000"/>
          <w:sz w:val="24"/>
          <w:szCs w:val="24"/>
        </w:rPr>
        <w:t>º.</w:t>
      </w:r>
      <w:r w:rsidR="00616596" w:rsidRPr="00AC5968">
        <w:rPr>
          <w:rFonts w:ascii="Arial" w:hAnsi="Arial" w:cs="Arial"/>
          <w:color w:val="000000"/>
          <w:sz w:val="24"/>
          <w:szCs w:val="24"/>
        </w:rPr>
        <w:t xml:space="preserve"> A presente Resolução poderá ser regulamentada, quando necessária.</w:t>
      </w:r>
    </w:p>
    <w:p w14:paraId="436DFC9A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AE8D9D" w14:textId="62922BD2" w:rsidR="001D70DD" w:rsidRPr="00AC5968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A00BCC" w:rsidRPr="00AC5968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 xml:space="preserve">º. 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 xml:space="preserve">As despesas decorrentes da execução da presente 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>Resolução serão atendidas pelas dotações próprias consignadas no orçamento de acordo com as normas legais vigentes.</w:t>
      </w:r>
    </w:p>
    <w:p w14:paraId="40AC09BF" w14:textId="77777777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AE8D9E" w14:textId="32701CE2" w:rsidR="001D70DD" w:rsidRDefault="00AC5968" w:rsidP="00AC5968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596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A00BCC" w:rsidRPr="00AC5968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="00893448" w:rsidRPr="00AC5968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93448" w:rsidRPr="00AC5968">
        <w:rPr>
          <w:rFonts w:ascii="Arial" w:hAnsi="Arial" w:cs="Arial"/>
          <w:color w:val="000000"/>
          <w:sz w:val="24"/>
          <w:szCs w:val="24"/>
        </w:rPr>
        <w:t xml:space="preserve"> Esta Resolução entrará em vigor na data da sua publicação, ficando revogadas as disposições em contrário.</w:t>
      </w:r>
    </w:p>
    <w:p w14:paraId="1210D7CE" w14:textId="2B33BB2D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A06FCE" w14:textId="3DC361A1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14:paraId="0B853B87" w14:textId="75A6A693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23 de novembro de 2021.</w:t>
      </w:r>
    </w:p>
    <w:p w14:paraId="23F7B81A" w14:textId="715E76FD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007B4EE" w14:textId="02EA1082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Publique-se.</w:t>
      </w:r>
    </w:p>
    <w:p w14:paraId="2C998A2D" w14:textId="1956B6BE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AD5B0F" w14:textId="3DA18DBF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Franklin Duarte de Lima</w:t>
      </w:r>
    </w:p>
    <w:p w14:paraId="79C7AFD3" w14:textId="653A1A1C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14:paraId="02FCEC00" w14:textId="3BF65FBE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5C3C826" w14:textId="72E25FA0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7B66B2" w14:textId="261FB852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9EEECCB" w14:textId="3FE6F114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Luiz Mayr Neto</w:t>
      </w:r>
    </w:p>
    <w:p w14:paraId="19BB6595" w14:textId="32E1A429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14:paraId="1DE42829" w14:textId="54E57AD2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2A5A089" w14:textId="270C5DDF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79ED09" w14:textId="00874585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082AB39" w14:textId="1278446F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Simone Aparecida Bellini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Marcatto</w:t>
      </w:r>
      <w:proofErr w:type="spellEnd"/>
    </w:p>
    <w:p w14:paraId="2AE6186A" w14:textId="18B7D705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2ª Secretária</w:t>
      </w:r>
    </w:p>
    <w:p w14:paraId="5FC08A8B" w14:textId="788FEB62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45F63A" w14:textId="4B03F100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417659" w14:textId="2373A620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Município.</w:t>
      </w:r>
    </w:p>
    <w:p w14:paraId="26B8EFB8" w14:textId="1FD1345F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7D2E1C6" w14:textId="302C4ACA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3DE367" w14:textId="1749ACDA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078F726" w14:textId="46F1858D" w:rsid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Thiago Eduardo Galvão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Capellato</w:t>
      </w:r>
      <w:proofErr w:type="spellEnd"/>
    </w:p>
    <w:p w14:paraId="3A9D4FF5" w14:textId="7B5C8274" w:rsidR="00AC5968" w:rsidRPr="00AC5968" w:rsidRDefault="00AC5968" w:rsidP="00AC5968">
      <w:pPr>
        <w:tabs>
          <w:tab w:val="left" w:pos="567"/>
          <w:tab w:val="left" w:pos="2693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Diretor Legislativo e de Expediente</w:t>
      </w:r>
    </w:p>
    <w:sectPr w:rsidR="00AC5968" w:rsidRPr="00AC5968" w:rsidSect="00AC5968">
      <w:headerReference w:type="default" r:id="rId8"/>
      <w:headerReference w:type="first" r:id="rId9"/>
      <w:type w:val="continuous"/>
      <w:pgSz w:w="11906" w:h="16838"/>
      <w:pgMar w:top="2976" w:right="1134" w:bottom="1417" w:left="2268" w:header="2551" w:footer="85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3B147" w14:textId="77777777" w:rsidR="00893448" w:rsidRDefault="00893448" w:rsidP="00AC5968">
      <w:pPr>
        <w:spacing w:after="0" w:line="240" w:lineRule="auto"/>
      </w:pPr>
      <w:r>
        <w:separator/>
      </w:r>
    </w:p>
  </w:endnote>
  <w:endnote w:type="continuationSeparator" w:id="0">
    <w:p w14:paraId="6FE2EED0" w14:textId="77777777" w:rsidR="00893448" w:rsidRDefault="00893448" w:rsidP="00AC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68E8C" w14:textId="77777777" w:rsidR="00893448" w:rsidRDefault="00893448" w:rsidP="00AC5968">
      <w:pPr>
        <w:spacing w:after="0" w:line="240" w:lineRule="auto"/>
      </w:pPr>
      <w:r>
        <w:separator/>
      </w:r>
    </w:p>
  </w:footnote>
  <w:footnote w:type="continuationSeparator" w:id="0">
    <w:p w14:paraId="6C682186" w14:textId="77777777" w:rsidR="00893448" w:rsidRDefault="00893448" w:rsidP="00AC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D0086" w14:textId="494A581B" w:rsidR="00AC5968" w:rsidRPr="00AC5968" w:rsidRDefault="00AC5968" w:rsidP="00AC5968">
    <w:pPr>
      <w:pStyle w:val="Cabealho"/>
      <w:tabs>
        <w:tab w:val="clear" w:pos="4252"/>
      </w:tabs>
      <w:jc w:val="both"/>
      <w:rPr>
        <w:rFonts w:ascii="Arial" w:hAnsi="Arial" w:cs="Arial"/>
        <w:color w:val="000000"/>
      </w:rPr>
    </w:pPr>
    <w:r w:rsidRPr="00AC5968">
      <w:rPr>
        <w:rFonts w:ascii="Arial" w:hAnsi="Arial" w:cs="Arial"/>
        <w:color w:val="000000"/>
      </w:rPr>
      <w:t>(Resolução nº 10</w:t>
    </w:r>
    <w:r>
      <w:rPr>
        <w:rFonts w:ascii="Arial" w:hAnsi="Arial" w:cs="Arial"/>
        <w:color w:val="000000"/>
      </w:rPr>
      <w:t>/21</w:t>
    </w:r>
    <w:proofErr w:type="gramStart"/>
    <w:r w:rsidRPr="00AC5968">
      <w:rPr>
        <w:rFonts w:ascii="Arial" w:hAnsi="Arial" w:cs="Arial"/>
        <w:color w:val="000000"/>
      </w:rPr>
      <w:t>)</w:t>
    </w:r>
    <w:proofErr w:type="gramEnd"/>
    <w:r w:rsidRPr="00AC5968">
      <w:rPr>
        <w:rFonts w:ascii="Arial" w:hAnsi="Arial" w:cs="Arial"/>
        <w:color w:val="000000"/>
      </w:rPr>
      <w:tab/>
      <w:t xml:space="preserve">Fl. </w:t>
    </w:r>
    <w:r w:rsidRPr="00AC5968">
      <w:rPr>
        <w:rFonts w:ascii="Arial" w:hAnsi="Arial" w:cs="Arial"/>
        <w:color w:val="000000"/>
      </w:rPr>
      <w:fldChar w:fldCharType="begin"/>
    </w:r>
    <w:r w:rsidRPr="00AC5968">
      <w:rPr>
        <w:rFonts w:ascii="Arial" w:hAnsi="Arial" w:cs="Arial"/>
        <w:color w:val="000000"/>
      </w:rPr>
      <w:instrText xml:space="preserve"> PAGE \# 00 Arabic \* MERGEFORMAT </w:instrText>
    </w:r>
    <w:r w:rsidRPr="00AC5968"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noProof/>
        <w:color w:val="000000"/>
      </w:rPr>
      <w:t>05</w:t>
    </w:r>
    <w:r w:rsidRPr="00AC5968">
      <w:rPr>
        <w:rFonts w:ascii="Arial" w:hAnsi="Arial" w:cs="Arial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31D94" w14:textId="0FAF66CD" w:rsidR="00AC5968" w:rsidRPr="00AC5968" w:rsidRDefault="00AC5968" w:rsidP="00AC5968">
    <w:pPr>
      <w:pStyle w:val="Cabealho"/>
      <w:tabs>
        <w:tab w:val="clear" w:pos="4252"/>
      </w:tabs>
      <w:jc w:val="both"/>
      <w:rPr>
        <w:rFonts w:ascii="Arial" w:hAnsi="Arial" w:cs="Arial"/>
        <w:color w:val="000000"/>
      </w:rPr>
    </w:pPr>
    <w:r w:rsidRPr="00AC5968">
      <w:rPr>
        <w:rFonts w:ascii="Arial" w:hAnsi="Arial" w:cs="Arial"/>
        <w:color w:val="000000"/>
      </w:rPr>
      <w:t xml:space="preserve">Do Projeto de Resolução nº </w:t>
    </w:r>
    <w:r>
      <w:rPr>
        <w:rFonts w:ascii="Arial" w:hAnsi="Arial" w:cs="Arial"/>
        <w:color w:val="000000"/>
      </w:rPr>
      <w:t>13</w:t>
    </w:r>
    <w:r w:rsidRPr="00AC5968">
      <w:rPr>
        <w:rFonts w:ascii="Arial" w:hAnsi="Arial" w:cs="Arial"/>
        <w:color w:val="000000"/>
      </w:rPr>
      <w:t xml:space="preserve">/21 - Proc. Leg. nº </w:t>
    </w:r>
    <w:r>
      <w:rPr>
        <w:rFonts w:ascii="Arial" w:hAnsi="Arial" w:cs="Arial"/>
        <w:color w:val="000000"/>
      </w:rPr>
      <w:t>5.000</w:t>
    </w:r>
    <w:r w:rsidRPr="00AC5968">
      <w:rPr>
        <w:rFonts w:ascii="Arial" w:hAnsi="Arial" w:cs="Arial"/>
        <w:color w:val="000000"/>
      </w:rPr>
      <w:t>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4184"/>
    <w:multiLevelType w:val="multilevel"/>
    <w:tmpl w:val="303A800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436B193D"/>
    <w:multiLevelType w:val="multilevel"/>
    <w:tmpl w:val="D8FE3A4C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">
    <w:nsid w:val="61D56852"/>
    <w:multiLevelType w:val="multilevel"/>
    <w:tmpl w:val="D0B0AD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52E72CD"/>
    <w:multiLevelType w:val="multilevel"/>
    <w:tmpl w:val="D8BC2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DBA0D30"/>
    <w:multiLevelType w:val="hybridMultilevel"/>
    <w:tmpl w:val="480C4640"/>
    <w:lvl w:ilvl="0" w:tplc="6AE2F9B8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AE02081A" w:tentative="1">
      <w:start w:val="1"/>
      <w:numFmt w:val="lowerLetter"/>
      <w:lvlText w:val="%2."/>
      <w:lvlJc w:val="left"/>
      <w:pPr>
        <w:ind w:left="2214" w:hanging="360"/>
      </w:pPr>
    </w:lvl>
    <w:lvl w:ilvl="2" w:tplc="3F400460" w:tentative="1">
      <w:start w:val="1"/>
      <w:numFmt w:val="lowerRoman"/>
      <w:lvlText w:val="%3."/>
      <w:lvlJc w:val="right"/>
      <w:pPr>
        <w:ind w:left="2934" w:hanging="180"/>
      </w:pPr>
    </w:lvl>
    <w:lvl w:ilvl="3" w:tplc="49B287C6" w:tentative="1">
      <w:start w:val="1"/>
      <w:numFmt w:val="decimal"/>
      <w:lvlText w:val="%4."/>
      <w:lvlJc w:val="left"/>
      <w:pPr>
        <w:ind w:left="3654" w:hanging="360"/>
      </w:pPr>
    </w:lvl>
    <w:lvl w:ilvl="4" w:tplc="533A5AF6" w:tentative="1">
      <w:start w:val="1"/>
      <w:numFmt w:val="lowerLetter"/>
      <w:lvlText w:val="%5."/>
      <w:lvlJc w:val="left"/>
      <w:pPr>
        <w:ind w:left="4374" w:hanging="360"/>
      </w:pPr>
    </w:lvl>
    <w:lvl w:ilvl="5" w:tplc="E370C2F0" w:tentative="1">
      <w:start w:val="1"/>
      <w:numFmt w:val="lowerRoman"/>
      <w:lvlText w:val="%6."/>
      <w:lvlJc w:val="right"/>
      <w:pPr>
        <w:ind w:left="5094" w:hanging="180"/>
      </w:pPr>
    </w:lvl>
    <w:lvl w:ilvl="6" w:tplc="F0E0614A" w:tentative="1">
      <w:start w:val="1"/>
      <w:numFmt w:val="decimal"/>
      <w:lvlText w:val="%7."/>
      <w:lvlJc w:val="left"/>
      <w:pPr>
        <w:ind w:left="5814" w:hanging="360"/>
      </w:pPr>
    </w:lvl>
    <w:lvl w:ilvl="7" w:tplc="B6AEA8B4" w:tentative="1">
      <w:start w:val="1"/>
      <w:numFmt w:val="lowerLetter"/>
      <w:lvlText w:val="%8."/>
      <w:lvlJc w:val="left"/>
      <w:pPr>
        <w:ind w:left="6534" w:hanging="360"/>
      </w:pPr>
    </w:lvl>
    <w:lvl w:ilvl="8" w:tplc="6EECF602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DD"/>
    <w:rsid w:val="000037D4"/>
    <w:rsid w:val="00013661"/>
    <w:rsid w:val="00017560"/>
    <w:rsid w:val="00021428"/>
    <w:rsid w:val="000275B9"/>
    <w:rsid w:val="000668E1"/>
    <w:rsid w:val="00080890"/>
    <w:rsid w:val="00094449"/>
    <w:rsid w:val="000A47EC"/>
    <w:rsid w:val="000B63A7"/>
    <w:rsid w:val="000E1CC2"/>
    <w:rsid w:val="00113558"/>
    <w:rsid w:val="00126307"/>
    <w:rsid w:val="001D70DD"/>
    <w:rsid w:val="001F3636"/>
    <w:rsid w:val="002473AE"/>
    <w:rsid w:val="002760C6"/>
    <w:rsid w:val="002D1E91"/>
    <w:rsid w:val="002D55EB"/>
    <w:rsid w:val="002E3120"/>
    <w:rsid w:val="00300E25"/>
    <w:rsid w:val="00321799"/>
    <w:rsid w:val="003237B4"/>
    <w:rsid w:val="003408DA"/>
    <w:rsid w:val="00356C33"/>
    <w:rsid w:val="00376493"/>
    <w:rsid w:val="00422BE7"/>
    <w:rsid w:val="0047119D"/>
    <w:rsid w:val="004F56B4"/>
    <w:rsid w:val="0050353B"/>
    <w:rsid w:val="005B2DA9"/>
    <w:rsid w:val="00605D08"/>
    <w:rsid w:val="00616596"/>
    <w:rsid w:val="0069510D"/>
    <w:rsid w:val="006B106D"/>
    <w:rsid w:val="006D13AA"/>
    <w:rsid w:val="00793006"/>
    <w:rsid w:val="007A655B"/>
    <w:rsid w:val="007C3378"/>
    <w:rsid w:val="007D0054"/>
    <w:rsid w:val="007F14D6"/>
    <w:rsid w:val="00804045"/>
    <w:rsid w:val="008207C3"/>
    <w:rsid w:val="00841C77"/>
    <w:rsid w:val="00856D7E"/>
    <w:rsid w:val="00893448"/>
    <w:rsid w:val="008F0E91"/>
    <w:rsid w:val="009006BF"/>
    <w:rsid w:val="00952854"/>
    <w:rsid w:val="009C24C4"/>
    <w:rsid w:val="009C6A07"/>
    <w:rsid w:val="009D0C9E"/>
    <w:rsid w:val="00A00BCC"/>
    <w:rsid w:val="00A41598"/>
    <w:rsid w:val="00A77B4C"/>
    <w:rsid w:val="00AC39AE"/>
    <w:rsid w:val="00AC5968"/>
    <w:rsid w:val="00AC630C"/>
    <w:rsid w:val="00AF57F7"/>
    <w:rsid w:val="00B22451"/>
    <w:rsid w:val="00B358E4"/>
    <w:rsid w:val="00B74193"/>
    <w:rsid w:val="00C047F9"/>
    <w:rsid w:val="00C11F6A"/>
    <w:rsid w:val="00C77923"/>
    <w:rsid w:val="00CF6C2E"/>
    <w:rsid w:val="00D215A8"/>
    <w:rsid w:val="00D72438"/>
    <w:rsid w:val="00DC5A3F"/>
    <w:rsid w:val="00DC6651"/>
    <w:rsid w:val="00E35F97"/>
    <w:rsid w:val="00EC14D9"/>
    <w:rsid w:val="00F16978"/>
    <w:rsid w:val="00F2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B6E9B"/>
    <w:pPr>
      <w:ind w:left="720"/>
      <w:contextualSpacing/>
    </w:pPr>
  </w:style>
  <w:style w:type="table" w:styleId="Tabelacomgrade">
    <w:name w:val="Table Grid"/>
    <w:basedOn w:val="Tabelanormal"/>
    <w:uiPriority w:val="39"/>
    <w:rsid w:val="0021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804045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404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804045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968"/>
  </w:style>
  <w:style w:type="paragraph" w:styleId="Rodap">
    <w:name w:val="footer"/>
    <w:basedOn w:val="Normal"/>
    <w:link w:val="RodapChar"/>
    <w:uiPriority w:val="99"/>
    <w:unhideWhenUsed/>
    <w:rsid w:val="00AC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968"/>
  </w:style>
  <w:style w:type="paragraph" w:styleId="Textodebalo">
    <w:name w:val="Balloon Text"/>
    <w:basedOn w:val="Normal"/>
    <w:link w:val="TextodebaloChar"/>
    <w:uiPriority w:val="99"/>
    <w:semiHidden/>
    <w:unhideWhenUsed/>
    <w:rsid w:val="00AC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1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B6E9B"/>
    <w:pPr>
      <w:ind w:left="720"/>
      <w:contextualSpacing/>
    </w:pPr>
  </w:style>
  <w:style w:type="table" w:styleId="Tabelacomgrade">
    <w:name w:val="Table Grid"/>
    <w:basedOn w:val="Tabelanormal"/>
    <w:uiPriority w:val="39"/>
    <w:rsid w:val="0021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804045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0404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804045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968"/>
  </w:style>
  <w:style w:type="paragraph" w:styleId="Rodap">
    <w:name w:val="footer"/>
    <w:basedOn w:val="Normal"/>
    <w:link w:val="RodapChar"/>
    <w:uiPriority w:val="99"/>
    <w:unhideWhenUsed/>
    <w:rsid w:val="00AC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968"/>
  </w:style>
  <w:style w:type="paragraph" w:styleId="Textodebalo">
    <w:name w:val="Balloon Text"/>
    <w:basedOn w:val="Normal"/>
    <w:link w:val="TextodebaloChar"/>
    <w:uiPriority w:val="99"/>
    <w:semiHidden/>
    <w:unhideWhenUsed/>
    <w:rsid w:val="00AC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1007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Fadel Malghosian</dc:creator>
  <cp:lastModifiedBy>Rafael Alves Rodrigues</cp:lastModifiedBy>
  <cp:revision>29</cp:revision>
  <cp:lastPrinted>2021-11-24T13:41:00Z</cp:lastPrinted>
  <dcterms:created xsi:type="dcterms:W3CDTF">2021-11-23T15:26:00Z</dcterms:created>
  <dcterms:modified xsi:type="dcterms:W3CDTF">2021-11-24T13:45:00Z</dcterms:modified>
  <dc:language>pt-BR</dc:language>
</cp:coreProperties>
</file>