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6" w:rsidRDefault="003E756B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3E756B">
        <w:rPr>
          <w:rFonts w:ascii="Verdana" w:hAnsi="Verdana"/>
          <w:b/>
          <w:sz w:val="24"/>
          <w:szCs w:val="24"/>
        </w:rPr>
        <w:t>1742</w:t>
      </w:r>
      <w:r>
        <w:rPr>
          <w:rFonts w:ascii="Verdana" w:hAnsi="Verdana"/>
          <w:b/>
          <w:sz w:val="24"/>
          <w:szCs w:val="24"/>
        </w:rPr>
        <w:t>/</w:t>
      </w:r>
      <w:r w:rsidRPr="003E756B">
        <w:rPr>
          <w:rFonts w:ascii="Verdana" w:hAnsi="Verdana"/>
          <w:b/>
          <w:sz w:val="24"/>
          <w:szCs w:val="24"/>
        </w:rPr>
        <w:t>2021</w:t>
      </w:r>
    </w:p>
    <w:p w:rsidR="004A7296" w:rsidRDefault="003E756B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04 de outubro de 2021. </w:t>
      </w:r>
    </w:p>
    <w:p w:rsidR="004A7296" w:rsidRDefault="003E756B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Assunto: Repasse irregular do DAEV à PMV em desacordo com Lei Municipal 4.040/06 e artigo 35 da LRF.</w:t>
      </w:r>
    </w:p>
    <w:p w:rsidR="004A7296" w:rsidRDefault="004A7296">
      <w:pPr>
        <w:spacing w:line="240" w:lineRule="auto"/>
        <w:jc w:val="both"/>
        <w:rPr>
          <w:b/>
          <w:bCs/>
          <w:sz w:val="24"/>
          <w:szCs w:val="24"/>
        </w:rPr>
      </w:pPr>
    </w:p>
    <w:p w:rsidR="004A7296" w:rsidRDefault="003E756B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4A7296" w:rsidRDefault="003E756B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4A7296" w:rsidRDefault="004A729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A7296" w:rsidRDefault="003E756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que após aprovado pelo soberano plenário, seja encaminhado a Exma. Sra. Prefeita o pedido de informações quanto as questões aqui apresentadas: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– É do conhecimento da Municipalidade o teor da denuncia ofertada pelo cidadão Edson Roberto Secafim </w:t>
      </w:r>
      <w:r>
        <w:rPr>
          <w:rFonts w:ascii="Verdana" w:hAnsi="Verdana"/>
          <w:sz w:val="24"/>
          <w:szCs w:val="24"/>
        </w:rPr>
        <w:t xml:space="preserve">acerca de supostas “operações de créditos” perpetradas na gestão anterior referente ao pagamento das parcelas mensais da ampliação do sistema de abastecimento de água de Valinhos – Contrato 23.283-34 e 23.150-22 firmado entre a União Federal e o Município </w:t>
      </w:r>
      <w:r>
        <w:rPr>
          <w:rFonts w:ascii="Verdana" w:hAnsi="Verdana"/>
          <w:sz w:val="24"/>
          <w:szCs w:val="24"/>
        </w:rPr>
        <w:t xml:space="preserve">de Valinhos? Se possível pede melhor detalhamento da questão para bem entender a situação. 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– Quais foram os repasses ocorridos durante o exercício de 2020 entre DAEV e Prefeitura para pagamento dos referidos contratos?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 – Por sua vez, quais pagamentos </w:t>
      </w:r>
      <w:r>
        <w:rPr>
          <w:rFonts w:ascii="Verdana" w:hAnsi="Verdana"/>
          <w:sz w:val="24"/>
          <w:szCs w:val="24"/>
        </w:rPr>
        <w:t xml:space="preserve">das parcelas mensais foram efetivadas pelo Município? 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 – Houve suspensão por parte do Município do pagamento de tais parcelas mensais decorrentes da Lei 173/2020? Se positivo, especificar as parcelas mensais que deixaram de ser pagas. 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 – Dos valores re</w:t>
      </w:r>
      <w:r>
        <w:rPr>
          <w:rFonts w:ascii="Verdana" w:hAnsi="Verdana"/>
          <w:sz w:val="24"/>
          <w:szCs w:val="24"/>
        </w:rPr>
        <w:t>passados, houve a restituição da Fazenda Municipal aos cofres da Autarquia? Se positivo, quando? Se positivo, apresentar datas e valores.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 – É do entendimento da Autoridade Pública Municipal que a operação desencadeada constitui operação de crédito efetiv</w:t>
      </w:r>
      <w:r>
        <w:rPr>
          <w:rFonts w:ascii="Verdana" w:hAnsi="Verdana"/>
          <w:sz w:val="24"/>
          <w:szCs w:val="24"/>
        </w:rPr>
        <w:t xml:space="preserve">da entre Órgãos Públicos? 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7 - É do entendimento da Autoridade Pública Municipal que tal operação de crédito é conduta vedada segundo a lei de responsabilidade fiscal?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 – Há alguma correlação entre a falta de investimentos para enfrentamento da crise hídr</w:t>
      </w:r>
      <w:r>
        <w:rPr>
          <w:rFonts w:ascii="Verdana" w:hAnsi="Verdana"/>
          <w:sz w:val="24"/>
          <w:szCs w:val="24"/>
        </w:rPr>
        <w:t>ica com a presente questão?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 – Quais são as providências ultimadas com relação aos atos administrativos em questão promovidas para apuração de responsabilidades?</w:t>
      </w:r>
    </w:p>
    <w:p w:rsidR="004A7296" w:rsidRDefault="003E756B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 – Houve a devolução dos valores não pagos à Autarquia? Se negativo, informar as razões e a</w:t>
      </w:r>
      <w:r>
        <w:rPr>
          <w:rFonts w:ascii="Verdana" w:hAnsi="Verdana"/>
          <w:sz w:val="24"/>
          <w:szCs w:val="24"/>
        </w:rPr>
        <w:t xml:space="preserve"> previsão para a correta adequação. </w:t>
      </w:r>
    </w:p>
    <w:p w:rsidR="004A7296" w:rsidRDefault="003E756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lisura dos atos, e</w:t>
      </w:r>
      <w:r>
        <w:rPr>
          <w:rFonts w:ascii="Verdana" w:hAnsi="Verdana"/>
          <w:sz w:val="24"/>
          <w:szCs w:val="24"/>
        </w:rPr>
        <w:t xml:space="preserve"> atendimento dos princípios constitucionais vigentes. </w:t>
      </w:r>
    </w:p>
    <w:p w:rsidR="004A7296" w:rsidRDefault="003E756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4A7296" w:rsidRDefault="003E756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4A7296" w:rsidRDefault="004A729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4A7296" w:rsidRDefault="004A729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4A7296" w:rsidRDefault="003E756B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4A7296" w:rsidRDefault="003E756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- Republicanos</w:t>
      </w:r>
    </w:p>
    <w:sectPr w:rsidR="004A7296">
      <w:footerReference w:type="default" r:id="rId8"/>
      <w:pgSz w:w="11906" w:h="16838"/>
      <w:pgMar w:top="2836" w:right="1701" w:bottom="1135" w:left="1701" w:header="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756B">
      <w:pPr>
        <w:spacing w:after="0" w:line="240" w:lineRule="auto"/>
      </w:pPr>
      <w:r>
        <w:separator/>
      </w:r>
    </w:p>
  </w:endnote>
  <w:endnote w:type="continuationSeparator" w:id="0">
    <w:p w:rsidR="00000000" w:rsidRDefault="003E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96" w:rsidRDefault="003E756B">
    <w:pPr>
      <w:pStyle w:val="Rodap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756B">
      <w:pPr>
        <w:spacing w:after="0" w:line="240" w:lineRule="auto"/>
      </w:pPr>
      <w:r>
        <w:separator/>
      </w:r>
    </w:p>
  </w:footnote>
  <w:footnote w:type="continuationSeparator" w:id="0">
    <w:p w:rsidR="00000000" w:rsidRDefault="003E7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96"/>
    <w:rsid w:val="003E756B"/>
    <w:rsid w:val="004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E82E-6CE7-4C6C-93E7-0F483C28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2075</Characters>
  <Application>Microsoft Office Word</Application>
  <DocSecurity>0</DocSecurity>
  <Lines>17</Lines>
  <Paragraphs>4</Paragraphs>
  <ScaleCrop>false</ScaleCrop>
  <Company>Cmv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3</cp:revision>
  <dcterms:created xsi:type="dcterms:W3CDTF">2021-10-04T12:04:00Z</dcterms:created>
  <dcterms:modified xsi:type="dcterms:W3CDTF">2021-10-04T18:40:00Z</dcterms:modified>
  <dc:language>pt-BR</dc:language>
</cp:coreProperties>
</file>