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294E22" w:rsidRPr="00143A61" w:rsidP="00143A61">
      <w:pPr>
        <w:spacing w:line="240" w:lineRule="auto"/>
        <w:rPr>
          <w:rFonts w:ascii="Arial" w:hAnsi="Arial" w:cs="Arial"/>
          <w:b/>
          <w:sz w:val="24"/>
          <w:szCs w:val="24"/>
        </w:rPr>
      </w:pPr>
      <w:r w:rsidRPr="00143A61">
        <w:rPr>
          <w:rFonts w:ascii="Arial" w:hAnsi="Arial" w:cs="Arial"/>
          <w:b/>
          <w:sz w:val="24"/>
          <w:szCs w:val="24"/>
        </w:rPr>
        <w:t>PROJETO DE LEI Nº _______ /2021</w:t>
      </w:r>
    </w:p>
    <w:p w:rsidR="00D23F8A" w:rsidRPr="00143A61" w:rsidP="00294E22">
      <w:pPr>
        <w:spacing w:line="240" w:lineRule="auto"/>
        <w:jc w:val="right"/>
        <w:rPr>
          <w:rFonts w:ascii="Arial" w:hAnsi="Arial" w:cs="Arial"/>
          <w:sz w:val="24"/>
          <w:szCs w:val="24"/>
        </w:rPr>
      </w:pPr>
    </w:p>
    <w:p w:rsidR="00F82241" w:rsidRPr="00143A61" w:rsidP="00294E22">
      <w:pPr>
        <w:spacing w:line="240" w:lineRule="auto"/>
        <w:jc w:val="right"/>
        <w:rPr>
          <w:rFonts w:ascii="Arial" w:hAnsi="Arial" w:cs="Arial"/>
          <w:sz w:val="24"/>
          <w:szCs w:val="24"/>
        </w:rPr>
      </w:pPr>
    </w:p>
    <w:p w:rsidR="00294E22" w:rsidRPr="00143A61" w:rsidP="00294E22">
      <w:pPr>
        <w:spacing w:line="240" w:lineRule="auto"/>
        <w:jc w:val="right"/>
        <w:rPr>
          <w:rFonts w:ascii="Arial" w:hAnsi="Arial" w:cs="Arial"/>
          <w:sz w:val="24"/>
          <w:szCs w:val="24"/>
        </w:rPr>
      </w:pPr>
      <w:r w:rsidRPr="00143A61">
        <w:rPr>
          <w:rFonts w:ascii="Arial" w:hAnsi="Arial" w:cs="Arial"/>
          <w:sz w:val="24"/>
          <w:szCs w:val="24"/>
        </w:rPr>
        <w:t xml:space="preserve">Valinhos, </w:t>
      </w:r>
      <w:r w:rsidRPr="00143A61" w:rsidR="008D3A99">
        <w:rPr>
          <w:rFonts w:ascii="Arial" w:hAnsi="Arial" w:cs="Arial"/>
          <w:sz w:val="24"/>
          <w:szCs w:val="24"/>
        </w:rPr>
        <w:t>17</w:t>
      </w:r>
      <w:r w:rsidRPr="00143A61" w:rsidR="00D30865">
        <w:rPr>
          <w:rFonts w:ascii="Arial" w:hAnsi="Arial" w:cs="Arial"/>
          <w:sz w:val="24"/>
          <w:szCs w:val="24"/>
        </w:rPr>
        <w:t xml:space="preserve"> de março de </w:t>
      </w:r>
      <w:r w:rsidRPr="00143A61">
        <w:rPr>
          <w:rFonts w:ascii="Arial" w:hAnsi="Arial" w:cs="Arial"/>
          <w:sz w:val="24"/>
          <w:szCs w:val="24"/>
        </w:rPr>
        <w:t xml:space="preserve">2021. </w:t>
      </w:r>
    </w:p>
    <w:p w:rsidR="00B46164" w:rsidRPr="00143A61" w:rsidP="00294E22">
      <w:pPr>
        <w:spacing w:line="240" w:lineRule="auto"/>
        <w:jc w:val="right"/>
        <w:rPr>
          <w:rFonts w:ascii="Arial" w:hAnsi="Arial" w:cs="Arial"/>
          <w:sz w:val="24"/>
          <w:szCs w:val="24"/>
        </w:rPr>
      </w:pPr>
    </w:p>
    <w:p w:rsidR="00143A61" w:rsidRPr="00143A61" w:rsidP="00143A61">
      <w:pPr>
        <w:spacing w:after="0" w:line="240" w:lineRule="auto"/>
        <w:ind w:left="3969"/>
        <w:jc w:val="both"/>
        <w:rPr>
          <w:rFonts w:ascii="Arial" w:hAnsi="Arial" w:cs="Arial"/>
          <w:b/>
          <w:iCs/>
        </w:rPr>
      </w:pPr>
      <w:r w:rsidRPr="00143A61">
        <w:rPr>
          <w:rFonts w:ascii="Arial" w:hAnsi="Arial" w:cs="Arial"/>
          <w:b/>
          <w:bCs/>
        </w:rPr>
        <w:t xml:space="preserve">Ementa: Projeto de Lei </w:t>
      </w:r>
      <w:r>
        <w:rPr>
          <w:rFonts w:ascii="Arial" w:hAnsi="Arial" w:cs="Arial"/>
          <w:b/>
          <w:bCs/>
        </w:rPr>
        <w:t>que “</w:t>
      </w:r>
      <w:r>
        <w:rPr>
          <w:rFonts w:ascii="Arial" w:hAnsi="Arial" w:cs="Arial"/>
          <w:b/>
          <w:bCs/>
          <w:iCs/>
        </w:rPr>
        <w:t>A</w:t>
      </w:r>
      <w:r w:rsidRPr="00143A61">
        <w:rPr>
          <w:rFonts w:ascii="Arial" w:hAnsi="Arial" w:cs="Arial"/>
          <w:b/>
          <w:bCs/>
          <w:iCs/>
        </w:rPr>
        <w:t xml:space="preserve">ltera o código tributário no que se refere </w:t>
      </w:r>
      <w:r w:rsidRPr="00143A61" w:rsidR="00C73838">
        <w:rPr>
          <w:rFonts w:ascii="Arial" w:hAnsi="Arial" w:cs="Arial"/>
          <w:b/>
          <w:bCs/>
          <w:iCs/>
        </w:rPr>
        <w:t>à</w:t>
      </w:r>
      <w:r w:rsidRPr="00143A61">
        <w:rPr>
          <w:rFonts w:ascii="Arial" w:hAnsi="Arial" w:cs="Arial"/>
          <w:b/>
          <w:bCs/>
          <w:iCs/>
        </w:rPr>
        <w:t xml:space="preserve"> base de cálculo para fins de cobrança do ITBI, dando nova redação ao artigo 197,</w:t>
      </w:r>
      <w:r>
        <w:rPr>
          <w:rFonts w:ascii="Arial" w:hAnsi="Arial" w:cs="Arial"/>
          <w:b/>
          <w:bCs/>
          <w:iCs/>
        </w:rPr>
        <w:t xml:space="preserve"> </w:t>
      </w:r>
      <w:r w:rsidRPr="00143A61">
        <w:rPr>
          <w:rFonts w:ascii="Arial" w:hAnsi="Arial" w:cs="Arial"/>
          <w:b/>
          <w:bCs/>
          <w:iCs/>
        </w:rPr>
        <w:t>na forma que se especifica</w:t>
      </w:r>
      <w:r>
        <w:rPr>
          <w:rFonts w:ascii="Arial" w:hAnsi="Arial" w:cs="Arial"/>
          <w:b/>
          <w:bCs/>
          <w:iCs/>
        </w:rPr>
        <w:t>”</w:t>
      </w:r>
      <w:r w:rsidRPr="00143A61">
        <w:rPr>
          <w:rFonts w:ascii="Arial" w:hAnsi="Arial" w:cs="Arial"/>
          <w:b/>
          <w:bCs/>
          <w:iCs/>
        </w:rPr>
        <w:t xml:space="preserve">. </w:t>
      </w:r>
    </w:p>
    <w:p w:rsidR="00294E22" w:rsidRPr="00143A61" w:rsidP="00294E22">
      <w:pPr>
        <w:spacing w:line="240" w:lineRule="auto"/>
        <w:jc w:val="both"/>
        <w:rPr>
          <w:rFonts w:ascii="Arial" w:hAnsi="Arial" w:cs="Arial"/>
          <w:b/>
          <w:bCs/>
          <w:sz w:val="24"/>
          <w:szCs w:val="24"/>
        </w:rPr>
      </w:pPr>
    </w:p>
    <w:p w:rsidR="001A216C" w:rsidRPr="00143A61" w:rsidP="00294E22">
      <w:pPr>
        <w:spacing w:after="0" w:line="240" w:lineRule="auto"/>
        <w:ind w:firstLine="567"/>
        <w:jc w:val="both"/>
        <w:rPr>
          <w:rFonts w:ascii="Arial" w:hAnsi="Arial" w:cs="Arial"/>
          <w:bCs/>
          <w:sz w:val="24"/>
          <w:szCs w:val="24"/>
        </w:rPr>
      </w:pPr>
    </w:p>
    <w:p w:rsidR="00294E22" w:rsidP="00294E22">
      <w:pPr>
        <w:spacing w:after="0" w:line="240" w:lineRule="auto"/>
        <w:ind w:firstLine="567"/>
        <w:jc w:val="both"/>
        <w:rPr>
          <w:rFonts w:ascii="Arial" w:hAnsi="Arial" w:cs="Arial"/>
          <w:bCs/>
          <w:sz w:val="24"/>
          <w:szCs w:val="24"/>
        </w:rPr>
      </w:pPr>
      <w:r w:rsidRPr="00143A61">
        <w:rPr>
          <w:rFonts w:ascii="Arial" w:hAnsi="Arial" w:cs="Arial"/>
          <w:bCs/>
          <w:sz w:val="24"/>
          <w:szCs w:val="24"/>
        </w:rPr>
        <w:t xml:space="preserve">Exmos. </w:t>
      </w:r>
      <w:r w:rsidRPr="00143A61" w:rsidR="00C73838">
        <w:rPr>
          <w:rFonts w:ascii="Arial" w:hAnsi="Arial" w:cs="Arial"/>
          <w:bCs/>
          <w:sz w:val="24"/>
          <w:szCs w:val="24"/>
        </w:rPr>
        <w:t>Senhores</w:t>
      </w:r>
      <w:r w:rsidR="00C73838">
        <w:rPr>
          <w:rFonts w:ascii="Arial" w:hAnsi="Arial" w:cs="Arial"/>
          <w:bCs/>
          <w:sz w:val="24"/>
          <w:szCs w:val="24"/>
        </w:rPr>
        <w:t xml:space="preserve"> </w:t>
      </w:r>
      <w:r w:rsidRPr="00143A61" w:rsidR="00C73838">
        <w:rPr>
          <w:rFonts w:ascii="Arial" w:hAnsi="Arial" w:cs="Arial"/>
          <w:bCs/>
          <w:sz w:val="24"/>
          <w:szCs w:val="24"/>
        </w:rPr>
        <w:t>Vereadores</w:t>
      </w:r>
      <w:r w:rsidR="00C73838">
        <w:rPr>
          <w:rFonts w:ascii="Arial" w:hAnsi="Arial" w:cs="Arial"/>
          <w:bCs/>
          <w:sz w:val="24"/>
          <w:szCs w:val="24"/>
        </w:rPr>
        <w:t xml:space="preserve"> </w:t>
      </w:r>
    </w:p>
    <w:p w:rsidR="00C73838" w:rsidP="00294E22">
      <w:pPr>
        <w:spacing w:after="0" w:line="240" w:lineRule="auto"/>
        <w:ind w:firstLine="567"/>
        <w:jc w:val="both"/>
        <w:rPr>
          <w:rFonts w:ascii="Arial" w:hAnsi="Arial" w:cs="Arial"/>
          <w:bCs/>
          <w:sz w:val="24"/>
          <w:szCs w:val="24"/>
        </w:rPr>
      </w:pPr>
      <w:r>
        <w:rPr>
          <w:rFonts w:ascii="Arial" w:hAnsi="Arial" w:cs="Arial"/>
          <w:bCs/>
          <w:sz w:val="24"/>
          <w:szCs w:val="24"/>
        </w:rPr>
        <w:t>Exmas</w:t>
      </w:r>
      <w:r>
        <w:rPr>
          <w:rFonts w:ascii="Arial" w:hAnsi="Arial" w:cs="Arial"/>
          <w:bCs/>
          <w:sz w:val="24"/>
          <w:szCs w:val="24"/>
        </w:rPr>
        <w:t>. Senhoras Vereadoras</w:t>
      </w:r>
    </w:p>
    <w:p w:rsidR="00294E22" w:rsidRPr="00143A61" w:rsidP="00294E22">
      <w:pPr>
        <w:spacing w:line="240" w:lineRule="auto"/>
        <w:jc w:val="both"/>
        <w:rPr>
          <w:rFonts w:ascii="Arial" w:hAnsi="Arial" w:cs="Arial"/>
          <w:sz w:val="24"/>
          <w:szCs w:val="24"/>
        </w:rPr>
      </w:pPr>
    </w:p>
    <w:p w:rsidR="00D66BDB" w:rsidRPr="00143A61" w:rsidP="00143A61">
      <w:pPr>
        <w:spacing w:line="276" w:lineRule="auto"/>
        <w:ind w:firstLine="567"/>
        <w:jc w:val="both"/>
        <w:rPr>
          <w:rFonts w:ascii="Arial" w:hAnsi="Arial" w:cs="Arial"/>
          <w:sz w:val="24"/>
          <w:szCs w:val="24"/>
        </w:rPr>
      </w:pPr>
      <w:r w:rsidRPr="00143A61">
        <w:rPr>
          <w:rFonts w:ascii="Arial" w:hAnsi="Arial" w:cs="Arial"/>
          <w:sz w:val="24"/>
          <w:szCs w:val="24"/>
        </w:rPr>
        <w:t>O</w:t>
      </w:r>
      <w:r w:rsidR="00143A61">
        <w:rPr>
          <w:rFonts w:ascii="Arial" w:hAnsi="Arial" w:cs="Arial"/>
          <w:sz w:val="24"/>
          <w:szCs w:val="24"/>
        </w:rPr>
        <w:t xml:space="preserve"> v</w:t>
      </w:r>
      <w:r w:rsidRPr="00143A61" w:rsidR="00294E22">
        <w:rPr>
          <w:rFonts w:ascii="Arial" w:hAnsi="Arial" w:cs="Arial"/>
          <w:sz w:val="24"/>
          <w:szCs w:val="24"/>
        </w:rPr>
        <w:t xml:space="preserve">ereador </w:t>
      </w:r>
      <w:r w:rsidRPr="00143A61" w:rsidR="006242DC">
        <w:rPr>
          <w:rFonts w:ascii="Arial" w:hAnsi="Arial" w:cs="Arial"/>
          <w:b/>
          <w:bCs/>
          <w:sz w:val="24"/>
          <w:szCs w:val="24"/>
        </w:rPr>
        <w:t>Frankli</w:t>
      </w:r>
      <w:r w:rsidRPr="00143A61">
        <w:rPr>
          <w:rFonts w:ascii="Arial" w:hAnsi="Arial" w:cs="Arial"/>
          <w:b/>
          <w:bCs/>
          <w:sz w:val="24"/>
          <w:szCs w:val="24"/>
        </w:rPr>
        <w:t>n</w:t>
      </w:r>
      <w:r w:rsidRPr="00143A61" w:rsidR="006242DC">
        <w:rPr>
          <w:rFonts w:ascii="Arial" w:hAnsi="Arial" w:cs="Arial"/>
          <w:b/>
          <w:bCs/>
          <w:sz w:val="24"/>
          <w:szCs w:val="24"/>
        </w:rPr>
        <w:t xml:space="preserve"> Duarte de Lima</w:t>
      </w:r>
      <w:r w:rsidR="00C73838">
        <w:rPr>
          <w:rFonts w:ascii="Arial" w:hAnsi="Arial" w:cs="Arial"/>
          <w:b/>
          <w:bCs/>
          <w:sz w:val="24"/>
          <w:szCs w:val="24"/>
        </w:rPr>
        <w:t xml:space="preserve"> </w:t>
      </w:r>
      <w:r w:rsidRPr="00143A61" w:rsidR="00367039">
        <w:rPr>
          <w:rFonts w:ascii="Arial" w:hAnsi="Arial" w:cs="Arial"/>
          <w:sz w:val="24"/>
          <w:szCs w:val="24"/>
        </w:rPr>
        <w:t xml:space="preserve">submete </w:t>
      </w:r>
      <w:r w:rsidRPr="00143A61" w:rsidR="00EC04C2">
        <w:rPr>
          <w:rFonts w:ascii="Arial" w:hAnsi="Arial" w:cs="Arial"/>
          <w:sz w:val="24"/>
          <w:szCs w:val="24"/>
        </w:rPr>
        <w:t>à</w:t>
      </w:r>
      <w:r w:rsidRPr="00143A61" w:rsidR="00367039">
        <w:rPr>
          <w:rFonts w:ascii="Arial" w:hAnsi="Arial" w:cs="Arial"/>
          <w:sz w:val="24"/>
          <w:szCs w:val="24"/>
        </w:rPr>
        <w:t xml:space="preserve"> apreciação do soberano Plenário o presente projeto de lei que define</w:t>
      </w:r>
      <w:r w:rsidR="00C73838">
        <w:rPr>
          <w:rFonts w:ascii="Arial" w:hAnsi="Arial" w:cs="Arial"/>
          <w:sz w:val="24"/>
          <w:szCs w:val="24"/>
        </w:rPr>
        <w:t xml:space="preserve"> </w:t>
      </w:r>
      <w:r w:rsidRPr="00143A61">
        <w:rPr>
          <w:rFonts w:ascii="Arial" w:hAnsi="Arial" w:cs="Arial"/>
          <w:sz w:val="24"/>
          <w:szCs w:val="24"/>
        </w:rPr>
        <w:t>a base de c</w:t>
      </w:r>
      <w:r w:rsidRPr="00143A61" w:rsidR="00931E11">
        <w:rPr>
          <w:rFonts w:ascii="Arial" w:hAnsi="Arial" w:cs="Arial"/>
          <w:sz w:val="24"/>
          <w:szCs w:val="24"/>
        </w:rPr>
        <w:t>á</w:t>
      </w:r>
      <w:r w:rsidRPr="00143A61">
        <w:rPr>
          <w:rFonts w:ascii="Arial" w:hAnsi="Arial" w:cs="Arial"/>
          <w:sz w:val="24"/>
          <w:szCs w:val="24"/>
        </w:rPr>
        <w:t xml:space="preserve">lculo para cobrança do ITBI dando nova redação ao artigo 197 do Código Tributário Municipal. </w:t>
      </w:r>
    </w:p>
    <w:p w:rsidR="00442D6D" w:rsidRPr="00143A61" w:rsidP="00143A61">
      <w:pPr>
        <w:spacing w:line="276" w:lineRule="auto"/>
        <w:ind w:firstLine="567"/>
        <w:jc w:val="both"/>
        <w:rPr>
          <w:rFonts w:ascii="Arial" w:hAnsi="Arial" w:cs="Arial"/>
          <w:sz w:val="24"/>
          <w:szCs w:val="24"/>
        </w:rPr>
      </w:pPr>
      <w:r w:rsidRPr="00143A61">
        <w:rPr>
          <w:rFonts w:ascii="Arial" w:hAnsi="Arial" w:cs="Arial"/>
          <w:sz w:val="24"/>
          <w:szCs w:val="24"/>
        </w:rPr>
        <w:t xml:space="preserve">Referido projeto, faz parte das análises e estudos que esse Vereador vem desenvolvendo visando o aprimoramento do Código Tributário Municipal, de modo a corrigir as distorções, </w:t>
      </w:r>
      <w:r w:rsidRPr="00143A61" w:rsidR="006F2672">
        <w:rPr>
          <w:rFonts w:ascii="Arial" w:hAnsi="Arial" w:cs="Arial"/>
          <w:sz w:val="24"/>
          <w:szCs w:val="24"/>
        </w:rPr>
        <w:t xml:space="preserve">promover o equilíbrio tributário, e </w:t>
      </w:r>
      <w:r w:rsidRPr="00143A61" w:rsidR="00D156A0">
        <w:rPr>
          <w:rFonts w:ascii="Arial" w:hAnsi="Arial" w:cs="Arial"/>
          <w:sz w:val="24"/>
          <w:szCs w:val="24"/>
        </w:rPr>
        <w:t>harmonizar-se com o entendimento</w:t>
      </w:r>
      <w:r w:rsidRPr="00143A61" w:rsidR="00997586">
        <w:rPr>
          <w:rFonts w:ascii="Arial" w:hAnsi="Arial" w:cs="Arial"/>
          <w:sz w:val="24"/>
          <w:szCs w:val="24"/>
        </w:rPr>
        <w:t xml:space="preserve"> expressado pelos Tribunais </w:t>
      </w:r>
      <w:r w:rsidRPr="00143A61" w:rsidR="00D156A0">
        <w:rPr>
          <w:rFonts w:ascii="Arial" w:hAnsi="Arial" w:cs="Arial"/>
          <w:sz w:val="24"/>
          <w:szCs w:val="24"/>
        </w:rPr>
        <w:t>acerca da matéria</w:t>
      </w:r>
      <w:r w:rsidRPr="00143A61" w:rsidR="00776FE3">
        <w:rPr>
          <w:rFonts w:ascii="Arial" w:hAnsi="Arial" w:cs="Arial"/>
          <w:sz w:val="24"/>
          <w:szCs w:val="24"/>
        </w:rPr>
        <w:t xml:space="preserve">, além de revisar o </w:t>
      </w:r>
      <w:r w:rsidRPr="00143A61" w:rsidR="007E0F6C">
        <w:rPr>
          <w:rFonts w:ascii="Arial" w:hAnsi="Arial" w:cs="Arial"/>
          <w:sz w:val="24"/>
          <w:szCs w:val="24"/>
        </w:rPr>
        <w:t>“</w:t>
      </w:r>
      <w:r w:rsidRPr="00143A61" w:rsidR="00776FE3">
        <w:rPr>
          <w:rFonts w:ascii="Arial" w:hAnsi="Arial" w:cs="Arial"/>
          <w:sz w:val="24"/>
          <w:szCs w:val="24"/>
        </w:rPr>
        <w:t>custo-</w:t>
      </w:r>
      <w:r w:rsidRPr="00143A61" w:rsidR="007E0F6C">
        <w:rPr>
          <w:rFonts w:ascii="Arial" w:hAnsi="Arial" w:cs="Arial"/>
          <w:sz w:val="24"/>
          <w:szCs w:val="24"/>
        </w:rPr>
        <w:t>V</w:t>
      </w:r>
      <w:r w:rsidRPr="00143A61" w:rsidR="00776FE3">
        <w:rPr>
          <w:rFonts w:ascii="Arial" w:hAnsi="Arial" w:cs="Arial"/>
          <w:sz w:val="24"/>
          <w:szCs w:val="24"/>
        </w:rPr>
        <w:t>alinhos</w:t>
      </w:r>
      <w:r w:rsidRPr="00143A61" w:rsidR="007E0F6C">
        <w:rPr>
          <w:rFonts w:ascii="Arial" w:hAnsi="Arial" w:cs="Arial"/>
          <w:sz w:val="24"/>
          <w:szCs w:val="24"/>
        </w:rPr>
        <w:t>”</w:t>
      </w:r>
      <w:r w:rsidR="00C73838">
        <w:rPr>
          <w:rFonts w:ascii="Arial" w:hAnsi="Arial" w:cs="Arial"/>
          <w:sz w:val="24"/>
          <w:szCs w:val="24"/>
        </w:rPr>
        <w:t xml:space="preserve"> </w:t>
      </w:r>
      <w:r w:rsidRPr="00143A61" w:rsidR="007E0F6C">
        <w:rPr>
          <w:rFonts w:ascii="Arial" w:hAnsi="Arial" w:cs="Arial"/>
          <w:sz w:val="24"/>
          <w:szCs w:val="24"/>
        </w:rPr>
        <w:t>com foco na visão do desenvolvimento econômico e social de nossa cidade</w:t>
      </w:r>
      <w:r w:rsidRPr="00143A61" w:rsidR="00D156A0">
        <w:rPr>
          <w:rFonts w:ascii="Arial" w:hAnsi="Arial" w:cs="Arial"/>
          <w:sz w:val="24"/>
          <w:szCs w:val="24"/>
        </w:rPr>
        <w:t xml:space="preserve">. </w:t>
      </w:r>
    </w:p>
    <w:p w:rsidR="00CA7985" w:rsidRPr="00143A61" w:rsidP="00143A61">
      <w:pPr>
        <w:spacing w:line="276" w:lineRule="auto"/>
        <w:ind w:firstLine="567"/>
        <w:jc w:val="both"/>
        <w:rPr>
          <w:rFonts w:ascii="Arial" w:hAnsi="Arial" w:cs="Arial"/>
          <w:sz w:val="24"/>
          <w:szCs w:val="24"/>
        </w:rPr>
      </w:pPr>
      <w:r w:rsidRPr="00143A61">
        <w:rPr>
          <w:rFonts w:ascii="Arial" w:hAnsi="Arial" w:cs="Arial"/>
          <w:sz w:val="24"/>
          <w:szCs w:val="24"/>
        </w:rPr>
        <w:t xml:space="preserve">Como cediço, o ITBI é imposto sujeito a lançamento por homologação, assim entendido aquele </w:t>
      </w:r>
      <w:r w:rsidRPr="00143A61">
        <w:rPr>
          <w:rFonts w:ascii="Arial" w:hAnsi="Arial" w:cs="Arial"/>
          <w:i/>
          <w:iCs/>
          <w:sz w:val="24"/>
          <w:szCs w:val="24"/>
        </w:rPr>
        <w:t>“que ocorre quanto aos tributos cuja legislação atribua ao sujeito passivo o dever de antecipar o pagamento sem prévio exame da autoridade administrativa”</w:t>
      </w:r>
      <w:r w:rsidRPr="00143A61">
        <w:rPr>
          <w:rFonts w:ascii="Arial" w:hAnsi="Arial" w:cs="Arial"/>
          <w:sz w:val="24"/>
          <w:szCs w:val="24"/>
        </w:rPr>
        <w:t xml:space="preserve">, e que </w:t>
      </w:r>
      <w:r w:rsidRPr="00143A61">
        <w:rPr>
          <w:rFonts w:ascii="Arial" w:hAnsi="Arial" w:cs="Arial"/>
          <w:i/>
          <w:iCs/>
          <w:sz w:val="24"/>
          <w:szCs w:val="24"/>
        </w:rPr>
        <w:t>“opera-se pelo ato em que a referida autoridade, tomando conhecimento da atividade assim exercida pelo obrigado, expressamente a homologa”</w:t>
      </w:r>
      <w:r w:rsidRPr="00143A61">
        <w:rPr>
          <w:rFonts w:ascii="Arial" w:hAnsi="Arial" w:cs="Arial"/>
          <w:sz w:val="24"/>
          <w:szCs w:val="24"/>
        </w:rPr>
        <w:t xml:space="preserve"> (Código Tributário Nacional, art. 150).</w:t>
      </w:r>
    </w:p>
    <w:p w:rsidR="00CA7985" w:rsidRPr="00143A61" w:rsidP="00143A61">
      <w:pPr>
        <w:spacing w:line="276" w:lineRule="auto"/>
        <w:ind w:firstLine="567"/>
        <w:jc w:val="both"/>
        <w:rPr>
          <w:rFonts w:ascii="Arial" w:hAnsi="Arial" w:cs="Arial"/>
          <w:sz w:val="24"/>
          <w:szCs w:val="24"/>
        </w:rPr>
      </w:pPr>
      <w:r w:rsidRPr="00143A61">
        <w:rPr>
          <w:rFonts w:ascii="Arial" w:hAnsi="Arial" w:cs="Arial"/>
          <w:sz w:val="24"/>
          <w:szCs w:val="24"/>
        </w:rPr>
        <w:t>O fato gerador desse imposto encontra-se definido no artigo 35 do CTN, conforme segue:</w:t>
      </w:r>
    </w:p>
    <w:p w:rsidR="00CA7985" w:rsidRPr="00143A61" w:rsidP="0062033A">
      <w:pPr>
        <w:spacing w:line="240" w:lineRule="auto"/>
        <w:ind w:left="2268" w:firstLine="567"/>
        <w:jc w:val="both"/>
        <w:rPr>
          <w:rFonts w:ascii="Arial" w:hAnsi="Arial" w:cs="Arial"/>
          <w:i/>
          <w:iCs/>
        </w:rPr>
      </w:pPr>
      <w:r w:rsidRPr="00143A61">
        <w:rPr>
          <w:rFonts w:ascii="Arial" w:hAnsi="Arial" w:cs="Arial"/>
          <w:i/>
          <w:iCs/>
        </w:rPr>
        <w:t>“Art. 35. O imposto, de competência dos Estados, sobre a transmissão de bens imóveis e de direitos a eles relativos tem como fato gerador:</w:t>
      </w:r>
    </w:p>
    <w:p w:rsidR="00CA7985" w:rsidRPr="00143A61" w:rsidP="0062033A">
      <w:pPr>
        <w:spacing w:line="240" w:lineRule="auto"/>
        <w:ind w:left="2268" w:firstLine="567"/>
        <w:jc w:val="both"/>
        <w:rPr>
          <w:rFonts w:ascii="Arial" w:hAnsi="Arial" w:cs="Arial"/>
          <w:i/>
          <w:iCs/>
        </w:rPr>
      </w:pPr>
      <w:r w:rsidRPr="00143A61">
        <w:rPr>
          <w:rFonts w:ascii="Arial" w:hAnsi="Arial" w:cs="Arial"/>
          <w:i/>
          <w:iCs/>
        </w:rPr>
        <w:t>I - a transmissão, a qualquer título, da propriedade ou do domínio útil de bens imóveis, por natureza ou por acessão física, como definidos na lei civil;</w:t>
      </w:r>
    </w:p>
    <w:p w:rsidR="00CA7985" w:rsidRPr="00143A61" w:rsidP="0062033A">
      <w:pPr>
        <w:spacing w:line="240" w:lineRule="auto"/>
        <w:ind w:left="2268" w:firstLine="567"/>
        <w:jc w:val="both"/>
        <w:rPr>
          <w:rFonts w:ascii="Arial" w:hAnsi="Arial" w:cs="Arial"/>
          <w:i/>
          <w:iCs/>
        </w:rPr>
      </w:pPr>
      <w:r w:rsidRPr="00143A61">
        <w:rPr>
          <w:rFonts w:ascii="Arial" w:hAnsi="Arial" w:cs="Arial"/>
          <w:i/>
          <w:iCs/>
        </w:rPr>
        <w:t>II - a transmissão, a qualquer título, de direitos reais sobre imóveis, exceto os direitos reais de garantia;</w:t>
      </w:r>
    </w:p>
    <w:p w:rsidR="00CA7985" w:rsidRPr="00143A61" w:rsidP="0062033A">
      <w:pPr>
        <w:spacing w:line="240" w:lineRule="auto"/>
        <w:ind w:left="2268" w:firstLine="567"/>
        <w:jc w:val="both"/>
        <w:rPr>
          <w:rFonts w:ascii="Arial" w:hAnsi="Arial" w:cs="Arial"/>
          <w:i/>
          <w:iCs/>
        </w:rPr>
      </w:pPr>
      <w:r w:rsidRPr="00143A61">
        <w:rPr>
          <w:rFonts w:ascii="Arial" w:hAnsi="Arial" w:cs="Arial"/>
          <w:i/>
          <w:iCs/>
        </w:rPr>
        <w:t>III - a cessão de direitos relativos às transmissões referidas nos incisos I e II.</w:t>
      </w:r>
    </w:p>
    <w:p w:rsidR="00713F3F" w:rsidRPr="00143A61" w:rsidP="00713F3F">
      <w:pPr>
        <w:spacing w:line="240" w:lineRule="auto"/>
        <w:ind w:firstLine="567"/>
        <w:jc w:val="both"/>
        <w:rPr>
          <w:rFonts w:ascii="Arial" w:hAnsi="Arial" w:cs="Arial"/>
          <w:sz w:val="24"/>
          <w:szCs w:val="24"/>
        </w:rPr>
      </w:pPr>
    </w:p>
    <w:p w:rsidR="00CA7985" w:rsidRPr="00143A61" w:rsidP="00143A61">
      <w:pPr>
        <w:spacing w:line="276" w:lineRule="auto"/>
        <w:ind w:firstLine="567"/>
        <w:jc w:val="both"/>
        <w:rPr>
          <w:rFonts w:ascii="Arial" w:hAnsi="Arial" w:cs="Arial"/>
          <w:sz w:val="24"/>
          <w:szCs w:val="24"/>
        </w:rPr>
      </w:pPr>
      <w:r w:rsidRPr="00143A61">
        <w:rPr>
          <w:rFonts w:ascii="Arial" w:hAnsi="Arial" w:cs="Arial"/>
          <w:sz w:val="24"/>
          <w:szCs w:val="24"/>
        </w:rPr>
        <w:t xml:space="preserve">Nessa esteira de raciocínio, temos a previsão do artigo 148 do CTN que assim define o critério da base de calculo: </w:t>
      </w:r>
    </w:p>
    <w:p w:rsidR="00713F3F" w:rsidRPr="00143A61" w:rsidP="00713F3F">
      <w:pPr>
        <w:spacing w:line="240" w:lineRule="auto"/>
        <w:ind w:firstLine="567"/>
        <w:jc w:val="both"/>
        <w:rPr>
          <w:rFonts w:ascii="Arial" w:hAnsi="Arial" w:cs="Arial"/>
          <w:sz w:val="24"/>
          <w:szCs w:val="24"/>
        </w:rPr>
      </w:pPr>
    </w:p>
    <w:p w:rsidR="00713F3F" w:rsidRPr="00143A61" w:rsidP="00713F3F">
      <w:pPr>
        <w:spacing w:line="240" w:lineRule="auto"/>
        <w:ind w:left="2268"/>
        <w:jc w:val="both"/>
        <w:rPr>
          <w:rFonts w:ascii="Arial" w:hAnsi="Arial" w:cs="Arial"/>
          <w:i/>
          <w:iCs/>
          <w:sz w:val="24"/>
          <w:szCs w:val="24"/>
        </w:rPr>
      </w:pPr>
      <w:r w:rsidRPr="00143A61">
        <w:rPr>
          <w:rFonts w:ascii="Arial" w:hAnsi="Arial" w:cs="Arial"/>
          <w:i/>
          <w:iCs/>
          <w:sz w:val="24"/>
          <w:szCs w:val="24"/>
        </w:rPr>
        <w:t>Art. 148. Quando o cálculo do tributo tenha por base, ou tome em consideração, o valor ou o preço de bens, direitos, serviços ou atos jurídicos, a autoridade lançadora, mediante processo regular, arbitrará aquele valor ou preço, sempre que sejam omissos ou não mereçam fé as declarações ou os esclarecimentos prestados, ou os documentos expedidos pelo sujeito passivo ou pelo terceiro legalmente obrigado, ressalvada, em caso de contestação, avaliação contraditória, administrativa ou judicial.</w:t>
      </w:r>
    </w:p>
    <w:p w:rsidR="00713F3F" w:rsidRPr="00143A61" w:rsidP="00D156A0">
      <w:pPr>
        <w:spacing w:line="240" w:lineRule="auto"/>
        <w:ind w:firstLine="567"/>
        <w:jc w:val="both"/>
        <w:rPr>
          <w:rFonts w:ascii="Arial" w:hAnsi="Arial" w:cs="Arial"/>
          <w:sz w:val="24"/>
          <w:szCs w:val="24"/>
        </w:rPr>
      </w:pPr>
    </w:p>
    <w:p w:rsidR="00AD4341" w:rsidRPr="00143A61" w:rsidP="00143A61">
      <w:pPr>
        <w:spacing w:line="276" w:lineRule="auto"/>
        <w:ind w:firstLine="567"/>
        <w:jc w:val="both"/>
        <w:rPr>
          <w:rFonts w:ascii="Arial" w:hAnsi="Arial" w:cs="Arial"/>
          <w:sz w:val="24"/>
          <w:szCs w:val="24"/>
        </w:rPr>
      </w:pPr>
      <w:r w:rsidRPr="00143A61">
        <w:rPr>
          <w:rFonts w:ascii="Arial" w:hAnsi="Arial" w:cs="Arial"/>
          <w:sz w:val="24"/>
          <w:szCs w:val="24"/>
        </w:rPr>
        <w:t>No entanto</w:t>
      </w:r>
      <w:r w:rsidRPr="00143A61">
        <w:rPr>
          <w:rFonts w:ascii="Arial" w:hAnsi="Arial" w:cs="Arial"/>
          <w:sz w:val="24"/>
          <w:szCs w:val="24"/>
        </w:rPr>
        <w:t xml:space="preserve">, </w:t>
      </w:r>
      <w:r w:rsidRPr="00143A61" w:rsidR="00713F3F">
        <w:rPr>
          <w:rFonts w:ascii="Arial" w:hAnsi="Arial" w:cs="Arial"/>
          <w:sz w:val="24"/>
          <w:szCs w:val="24"/>
        </w:rPr>
        <w:t xml:space="preserve">a </w:t>
      </w:r>
      <w:r w:rsidRPr="00143A61">
        <w:rPr>
          <w:rFonts w:ascii="Arial" w:hAnsi="Arial" w:cs="Arial"/>
          <w:sz w:val="24"/>
          <w:szCs w:val="24"/>
        </w:rPr>
        <w:t>atual redação</w:t>
      </w:r>
      <w:r w:rsidRPr="00143A61" w:rsidR="008A7483">
        <w:rPr>
          <w:rFonts w:ascii="Arial" w:hAnsi="Arial" w:cs="Arial"/>
          <w:sz w:val="24"/>
          <w:szCs w:val="24"/>
        </w:rPr>
        <w:t xml:space="preserve"> do artigo </w:t>
      </w:r>
      <w:r w:rsidRPr="00143A61" w:rsidR="0006509F">
        <w:rPr>
          <w:rFonts w:ascii="Arial" w:hAnsi="Arial" w:cs="Arial"/>
          <w:sz w:val="24"/>
          <w:szCs w:val="24"/>
        </w:rPr>
        <w:t>197 do Código Tributário Municipal</w:t>
      </w:r>
      <w:r w:rsidRPr="00143A61">
        <w:rPr>
          <w:rFonts w:ascii="Arial" w:hAnsi="Arial" w:cs="Arial"/>
          <w:sz w:val="24"/>
          <w:szCs w:val="24"/>
        </w:rPr>
        <w:t xml:space="preserve">reveste-se de ofensa ao princípio da legalidade e inobservância </w:t>
      </w:r>
      <w:r w:rsidRPr="00143A61" w:rsidR="004758D4">
        <w:rPr>
          <w:rFonts w:ascii="Arial" w:hAnsi="Arial" w:cs="Arial"/>
          <w:sz w:val="24"/>
          <w:szCs w:val="24"/>
        </w:rPr>
        <w:t>dos ditames do</w:t>
      </w:r>
      <w:r w:rsidRPr="00143A61">
        <w:rPr>
          <w:rFonts w:ascii="Arial" w:hAnsi="Arial" w:cs="Arial"/>
          <w:sz w:val="24"/>
          <w:szCs w:val="24"/>
        </w:rPr>
        <w:t xml:space="preserve"> CTN</w:t>
      </w:r>
      <w:r w:rsidRPr="00143A61" w:rsidR="00EA05E9">
        <w:rPr>
          <w:rFonts w:ascii="Arial" w:hAnsi="Arial" w:cs="Arial"/>
          <w:sz w:val="24"/>
          <w:szCs w:val="24"/>
        </w:rPr>
        <w:t>, de modo que a atual s</w:t>
      </w:r>
      <w:r w:rsidRPr="00143A61">
        <w:rPr>
          <w:rFonts w:ascii="Arial" w:hAnsi="Arial" w:cs="Arial"/>
          <w:sz w:val="24"/>
          <w:szCs w:val="24"/>
        </w:rPr>
        <w:t>istemática</w:t>
      </w:r>
      <w:r w:rsidRPr="00143A61" w:rsidR="00EA05E9">
        <w:rPr>
          <w:rFonts w:ascii="Arial" w:hAnsi="Arial" w:cs="Arial"/>
          <w:sz w:val="24"/>
          <w:szCs w:val="24"/>
        </w:rPr>
        <w:t xml:space="preserve">, além de inverter a ordem do artigo 148 do CTN, se baseia numa </w:t>
      </w:r>
      <w:r w:rsidRPr="00143A61">
        <w:rPr>
          <w:rFonts w:ascii="Arial" w:hAnsi="Arial" w:cs="Arial"/>
          <w:sz w:val="24"/>
          <w:szCs w:val="24"/>
        </w:rPr>
        <w:t>estimativa prévia e unilateral do valor</w:t>
      </w:r>
      <w:r w:rsidRPr="00143A61" w:rsidR="00EA05E9">
        <w:rPr>
          <w:rFonts w:ascii="Arial" w:hAnsi="Arial" w:cs="Arial"/>
          <w:sz w:val="24"/>
          <w:szCs w:val="24"/>
        </w:rPr>
        <w:t>,</w:t>
      </w:r>
      <w:r w:rsidRPr="00143A61" w:rsidR="006A7A95">
        <w:rPr>
          <w:rFonts w:ascii="Arial" w:hAnsi="Arial" w:cs="Arial"/>
          <w:sz w:val="24"/>
          <w:szCs w:val="24"/>
        </w:rPr>
        <w:t xml:space="preserve"> mostrando-se ilegal tal base de c</w:t>
      </w:r>
      <w:r w:rsidRPr="00143A61" w:rsidR="00594AAF">
        <w:rPr>
          <w:rFonts w:ascii="Arial" w:hAnsi="Arial" w:cs="Arial"/>
          <w:sz w:val="24"/>
          <w:szCs w:val="24"/>
        </w:rPr>
        <w:t>á</w:t>
      </w:r>
      <w:r w:rsidRPr="00143A61" w:rsidR="006A7A95">
        <w:rPr>
          <w:rFonts w:ascii="Arial" w:hAnsi="Arial" w:cs="Arial"/>
          <w:sz w:val="24"/>
          <w:szCs w:val="24"/>
        </w:rPr>
        <w:t xml:space="preserve">lculo. </w:t>
      </w:r>
    </w:p>
    <w:p w:rsidR="00B07267" w:rsidRPr="00143A61" w:rsidP="00143A61">
      <w:pPr>
        <w:spacing w:line="276" w:lineRule="auto"/>
        <w:ind w:firstLine="567"/>
        <w:jc w:val="both"/>
        <w:rPr>
          <w:rFonts w:ascii="Arial" w:hAnsi="Arial" w:cs="Arial"/>
          <w:sz w:val="24"/>
          <w:szCs w:val="24"/>
        </w:rPr>
      </w:pPr>
      <w:r w:rsidRPr="00143A61">
        <w:rPr>
          <w:rFonts w:ascii="Arial" w:hAnsi="Arial" w:cs="Arial"/>
          <w:sz w:val="24"/>
          <w:szCs w:val="24"/>
        </w:rPr>
        <w:t xml:space="preserve">Dessa forma, é notório que </w:t>
      </w:r>
      <w:r w:rsidRPr="00143A61" w:rsidR="00E2032A">
        <w:rPr>
          <w:rFonts w:ascii="Arial" w:hAnsi="Arial" w:cs="Arial"/>
          <w:sz w:val="24"/>
          <w:szCs w:val="24"/>
        </w:rPr>
        <w:t xml:space="preserve">apesar da </w:t>
      </w:r>
      <w:r w:rsidRPr="00143A61">
        <w:rPr>
          <w:rFonts w:ascii="Arial" w:hAnsi="Arial" w:cs="Arial"/>
          <w:sz w:val="24"/>
          <w:szCs w:val="24"/>
        </w:rPr>
        <w:t xml:space="preserve">base de cálculo do ITBI de muito tempo, </w:t>
      </w:r>
      <w:r w:rsidRPr="00143A61" w:rsidR="00E2032A">
        <w:rPr>
          <w:rFonts w:ascii="Arial" w:hAnsi="Arial" w:cs="Arial"/>
          <w:sz w:val="24"/>
          <w:szCs w:val="24"/>
        </w:rPr>
        <w:t xml:space="preserve">há muito tempo </w:t>
      </w:r>
      <w:r w:rsidRPr="00143A61">
        <w:rPr>
          <w:rFonts w:ascii="Arial" w:hAnsi="Arial" w:cs="Arial"/>
          <w:sz w:val="24"/>
          <w:szCs w:val="24"/>
        </w:rPr>
        <w:t xml:space="preserve">vem sendo adotada o valor de referência do imóvel, valor esse obtido a partir de trabalho técnico com a participação dos profissionais da área de engenharia e arquitetura, se mostra </w:t>
      </w:r>
      <w:r w:rsidRPr="00143A61" w:rsidR="00E2032A">
        <w:rPr>
          <w:rFonts w:ascii="Arial" w:hAnsi="Arial" w:cs="Arial"/>
          <w:sz w:val="24"/>
          <w:szCs w:val="24"/>
        </w:rPr>
        <w:t>inj</w:t>
      </w:r>
      <w:r w:rsidRPr="00143A61">
        <w:rPr>
          <w:rFonts w:ascii="Arial" w:hAnsi="Arial" w:cs="Arial"/>
          <w:sz w:val="24"/>
          <w:szCs w:val="24"/>
        </w:rPr>
        <w:t xml:space="preserve">usto e </w:t>
      </w:r>
      <w:r w:rsidRPr="00143A61" w:rsidR="00E2032A">
        <w:rPr>
          <w:rFonts w:ascii="Arial" w:hAnsi="Arial" w:cs="Arial"/>
          <w:sz w:val="24"/>
          <w:szCs w:val="24"/>
        </w:rPr>
        <w:t>i</w:t>
      </w:r>
      <w:r w:rsidRPr="00143A61">
        <w:rPr>
          <w:rFonts w:ascii="Arial" w:hAnsi="Arial" w:cs="Arial"/>
          <w:sz w:val="24"/>
          <w:szCs w:val="24"/>
        </w:rPr>
        <w:t>legítimo</w:t>
      </w:r>
      <w:r w:rsidRPr="00143A61" w:rsidR="00FC14A2">
        <w:rPr>
          <w:rFonts w:ascii="Arial" w:hAnsi="Arial" w:cs="Arial"/>
          <w:sz w:val="24"/>
          <w:szCs w:val="24"/>
        </w:rPr>
        <w:t xml:space="preserve"> conforme se pode demonstrar pelo aprofundamento da questão pelos estudos que apresentamos em ligeira síntese. </w:t>
      </w:r>
    </w:p>
    <w:p w:rsidR="00FC01E5" w:rsidRPr="00143A61" w:rsidP="00143A61">
      <w:pPr>
        <w:spacing w:line="276" w:lineRule="auto"/>
        <w:ind w:firstLine="567"/>
        <w:jc w:val="both"/>
        <w:rPr>
          <w:rFonts w:ascii="Arial" w:hAnsi="Arial" w:cs="Arial"/>
          <w:sz w:val="24"/>
          <w:szCs w:val="24"/>
        </w:rPr>
      </w:pPr>
      <w:r w:rsidRPr="00143A61">
        <w:rPr>
          <w:rFonts w:ascii="Arial" w:hAnsi="Arial" w:cs="Arial"/>
          <w:sz w:val="24"/>
          <w:szCs w:val="24"/>
        </w:rPr>
        <w:t>Assim, e</w:t>
      </w:r>
      <w:r w:rsidRPr="00143A61">
        <w:rPr>
          <w:rFonts w:ascii="Arial" w:hAnsi="Arial" w:cs="Arial"/>
          <w:sz w:val="24"/>
          <w:szCs w:val="24"/>
        </w:rPr>
        <w:t>m outras palavras a adoção de valores venais distintos para dois tributos, como o IPTU e o ITBI, afronta o princípio constitucional da legalidade, f</w:t>
      </w:r>
      <w:r w:rsidRPr="00143A61" w:rsidR="00D73CCA">
        <w:rPr>
          <w:rFonts w:ascii="Arial" w:hAnsi="Arial" w:cs="Arial"/>
          <w:sz w:val="24"/>
          <w:szCs w:val="24"/>
        </w:rPr>
        <w:t xml:space="preserve">erindo </w:t>
      </w:r>
      <w:r w:rsidRPr="00143A61">
        <w:rPr>
          <w:rFonts w:ascii="Arial" w:hAnsi="Arial" w:cs="Arial"/>
          <w:sz w:val="24"/>
          <w:szCs w:val="24"/>
        </w:rPr>
        <w:t xml:space="preserve">frontalmente o princípio da universalização tributária segundo o Código </w:t>
      </w:r>
      <w:r w:rsidRPr="00143A61">
        <w:rPr>
          <w:rFonts w:ascii="Arial" w:hAnsi="Arial" w:cs="Arial"/>
          <w:sz w:val="24"/>
          <w:szCs w:val="24"/>
        </w:rPr>
        <w:t xml:space="preserve">Tributário Nacional, tanto a base de cálculo do valor do IPTU como a do ITBI, </w:t>
      </w:r>
      <w:r w:rsidRPr="00143A61" w:rsidR="002F1F86">
        <w:rPr>
          <w:rFonts w:ascii="Arial" w:hAnsi="Arial" w:cs="Arial"/>
          <w:sz w:val="24"/>
          <w:szCs w:val="24"/>
        </w:rPr>
        <w:t>dev</w:t>
      </w:r>
      <w:r w:rsidRPr="00143A61" w:rsidR="00D73CCA">
        <w:rPr>
          <w:rFonts w:ascii="Arial" w:hAnsi="Arial" w:cs="Arial"/>
          <w:sz w:val="24"/>
          <w:szCs w:val="24"/>
        </w:rPr>
        <w:t xml:space="preserve">endo </w:t>
      </w:r>
      <w:r w:rsidRPr="00143A61" w:rsidR="002F1F86">
        <w:rPr>
          <w:rFonts w:ascii="Arial" w:hAnsi="Arial" w:cs="Arial"/>
          <w:sz w:val="24"/>
          <w:szCs w:val="24"/>
        </w:rPr>
        <w:t xml:space="preserve">ser </w:t>
      </w:r>
      <w:r w:rsidRPr="00143A61">
        <w:rPr>
          <w:rFonts w:ascii="Arial" w:hAnsi="Arial" w:cs="Arial"/>
          <w:sz w:val="24"/>
          <w:szCs w:val="24"/>
        </w:rPr>
        <w:t>o valor venal do imóvel, isto é, aquele definido pela própria Municipalidade como sendo o compatível com a realidade do mercado."</w:t>
      </w:r>
    </w:p>
    <w:p w:rsidR="007712B0" w:rsidRPr="00143A61" w:rsidP="00143A61">
      <w:pPr>
        <w:spacing w:line="276" w:lineRule="auto"/>
        <w:ind w:firstLine="567"/>
        <w:jc w:val="both"/>
        <w:rPr>
          <w:rFonts w:ascii="Arial" w:hAnsi="Arial" w:cs="Arial"/>
          <w:sz w:val="24"/>
          <w:szCs w:val="24"/>
        </w:rPr>
      </w:pPr>
      <w:r w:rsidRPr="00143A61">
        <w:rPr>
          <w:rFonts w:ascii="Arial" w:hAnsi="Arial" w:cs="Arial"/>
          <w:sz w:val="24"/>
          <w:szCs w:val="24"/>
        </w:rPr>
        <w:t xml:space="preserve">Não é diferente o que ensina a doutrina, de longa data, como se pode extrair do magistério do </w:t>
      </w:r>
      <w:r w:rsidRPr="00143A61">
        <w:rPr>
          <w:rFonts w:ascii="Arial" w:hAnsi="Arial" w:cs="Arial"/>
          <w:sz w:val="24"/>
          <w:szCs w:val="24"/>
        </w:rPr>
        <w:t>ilustre doutrinador Hugo de Brito Machado, acerca da matéria:</w:t>
      </w:r>
    </w:p>
    <w:p w:rsidR="007712B0" w:rsidRPr="00143A61" w:rsidP="007712B0">
      <w:pPr>
        <w:spacing w:line="240" w:lineRule="auto"/>
        <w:ind w:firstLine="567"/>
        <w:jc w:val="both"/>
        <w:rPr>
          <w:rFonts w:ascii="Arial" w:hAnsi="Arial" w:cs="Arial"/>
          <w:sz w:val="24"/>
          <w:szCs w:val="24"/>
        </w:rPr>
      </w:pPr>
    </w:p>
    <w:p w:rsidR="007712B0" w:rsidRPr="00143A61" w:rsidP="007712B0">
      <w:pPr>
        <w:spacing w:line="240" w:lineRule="auto"/>
        <w:ind w:left="2268" w:firstLine="567"/>
        <w:jc w:val="both"/>
        <w:rPr>
          <w:rFonts w:ascii="Arial" w:hAnsi="Arial" w:cs="Arial"/>
          <w:sz w:val="24"/>
          <w:szCs w:val="24"/>
        </w:rPr>
      </w:pPr>
      <w:r w:rsidRPr="00143A61">
        <w:rPr>
          <w:rFonts w:ascii="Arial" w:hAnsi="Arial" w:cs="Arial"/>
          <w:i/>
          <w:iCs/>
          <w:sz w:val="24"/>
          <w:szCs w:val="24"/>
        </w:rPr>
        <w:t>"A base de cálculo do imposto é o valor venal dos bens ou direitos transmitidos (CTN, artigo 38). Não é o preço de venda, mas o valor venal. A diferença entre preço e valor é relevante. O preço é fixado pelas partes, que em princípio são livres para contratar. O valor dos bens é determinado pelas condições do mercado. Em princípio, pela lei da oferta e da procura"</w:t>
      </w:r>
      <w:r w:rsidRPr="00143A61">
        <w:rPr>
          <w:rFonts w:ascii="Arial" w:hAnsi="Arial" w:cs="Arial"/>
          <w:sz w:val="24"/>
          <w:szCs w:val="24"/>
        </w:rPr>
        <w:t xml:space="preserve"> (</w:t>
      </w:r>
      <w:r w:rsidRPr="00143A61">
        <w:rPr>
          <w:rFonts w:ascii="Arial" w:hAnsi="Arial" w:cs="Arial"/>
          <w:sz w:val="20"/>
          <w:szCs w:val="20"/>
        </w:rPr>
        <w:t>in Curso de Direito Tributário, 26ª ed., Malheiros, 2005, p. 395</w:t>
      </w:r>
      <w:r w:rsidRPr="00143A61">
        <w:rPr>
          <w:rFonts w:ascii="Arial" w:hAnsi="Arial" w:cs="Arial"/>
          <w:sz w:val="24"/>
          <w:szCs w:val="24"/>
        </w:rPr>
        <w:t>).</w:t>
      </w:r>
    </w:p>
    <w:p w:rsidR="002512FD" w:rsidRPr="00143A61" w:rsidP="002512FD">
      <w:pPr>
        <w:spacing w:line="240" w:lineRule="auto"/>
        <w:jc w:val="both"/>
        <w:rPr>
          <w:rFonts w:ascii="Arial" w:hAnsi="Arial" w:cs="Arial"/>
          <w:sz w:val="24"/>
          <w:szCs w:val="24"/>
        </w:rPr>
      </w:pPr>
    </w:p>
    <w:p w:rsidR="002512FD" w:rsidRPr="00143A61" w:rsidP="002512FD">
      <w:pPr>
        <w:spacing w:line="240" w:lineRule="auto"/>
        <w:jc w:val="both"/>
        <w:rPr>
          <w:rFonts w:ascii="Arial" w:hAnsi="Arial" w:cs="Arial"/>
          <w:sz w:val="24"/>
          <w:szCs w:val="24"/>
        </w:rPr>
      </w:pPr>
      <w:r w:rsidRPr="00143A61">
        <w:rPr>
          <w:rFonts w:ascii="Arial" w:hAnsi="Arial" w:cs="Arial"/>
          <w:sz w:val="24"/>
          <w:szCs w:val="24"/>
        </w:rPr>
        <w:t>Não menos oportuno, os ensinamentos de Aires Fernandino Barreto aduz que:</w:t>
      </w:r>
    </w:p>
    <w:p w:rsidR="002512FD" w:rsidRPr="00143A61" w:rsidP="002512FD">
      <w:pPr>
        <w:spacing w:line="240" w:lineRule="auto"/>
        <w:jc w:val="both"/>
        <w:rPr>
          <w:rFonts w:ascii="Arial" w:hAnsi="Arial" w:cs="Arial"/>
          <w:sz w:val="24"/>
          <w:szCs w:val="24"/>
        </w:rPr>
      </w:pPr>
    </w:p>
    <w:p w:rsidR="002512FD" w:rsidRPr="00143A61" w:rsidP="002512FD">
      <w:pPr>
        <w:spacing w:line="240" w:lineRule="auto"/>
        <w:ind w:left="2268"/>
        <w:jc w:val="both"/>
        <w:rPr>
          <w:rFonts w:ascii="Arial" w:hAnsi="Arial" w:cs="Arial"/>
          <w:sz w:val="24"/>
          <w:szCs w:val="24"/>
        </w:rPr>
      </w:pPr>
      <w:r w:rsidRPr="00143A61">
        <w:rPr>
          <w:rFonts w:ascii="Arial" w:hAnsi="Arial" w:cs="Arial"/>
          <w:i/>
          <w:iCs/>
          <w:sz w:val="24"/>
          <w:szCs w:val="24"/>
        </w:rPr>
        <w:t xml:space="preserve">“A base de cálculo do imposto é o valor venal dos bens ou direitos transmitidos ou cedidos. O valor venal não é necessariamente o valor do negócio realizado. A Constituição e o Código Tributário Nacional não exigem que o valor venal coincida com o valor da efetiva transação imobiliária, onde até os fatores subjetivos poderiam interferir na sua </w:t>
      </w:r>
      <w:r w:rsidRPr="00143A61">
        <w:rPr>
          <w:rFonts w:ascii="Arial" w:hAnsi="Arial" w:cs="Arial"/>
          <w:i/>
          <w:iCs/>
          <w:sz w:val="24"/>
          <w:szCs w:val="24"/>
        </w:rPr>
        <w:t>fixação.</w:t>
      </w:r>
      <w:r w:rsidRPr="00143A61">
        <w:rPr>
          <w:rFonts w:ascii="Arial" w:hAnsi="Arial" w:cs="Arial"/>
          <w:i/>
          <w:iCs/>
          <w:sz w:val="24"/>
          <w:szCs w:val="24"/>
        </w:rPr>
        <w:t>(...) Não se olvide que valor venal é o preço provável que o imóvel alcançará para compra e venda à vista, diante de mercado estável e quando comprador e vendedor têm plena consciência do potencial de uso e ocupação que ao imóvel pode ser dado. Não se esqueça que o valor venal é mensuração extremamente difícil, porque influenciada por uma série de fatores internos e externos, de natureza subjetiva, o que impede seja transformada em número inconteste.”</w:t>
      </w:r>
      <w:r w:rsidRPr="00143A61">
        <w:rPr>
          <w:rFonts w:ascii="Arial" w:hAnsi="Arial" w:cs="Arial"/>
          <w:sz w:val="24"/>
          <w:szCs w:val="24"/>
        </w:rPr>
        <w:t xml:space="preserve"> (</w:t>
      </w:r>
      <w:r w:rsidRPr="00143A61">
        <w:rPr>
          <w:rFonts w:ascii="Arial" w:hAnsi="Arial" w:cs="Arial"/>
          <w:sz w:val="20"/>
          <w:szCs w:val="20"/>
        </w:rPr>
        <w:t>in Curso de Direito Tributário Municipal, São Paulo, Editora Saraiva, 2009, p.295</w:t>
      </w:r>
      <w:r w:rsidRPr="00143A61">
        <w:rPr>
          <w:rFonts w:ascii="Arial" w:hAnsi="Arial" w:cs="Arial"/>
          <w:sz w:val="24"/>
          <w:szCs w:val="24"/>
        </w:rPr>
        <w:t>).</w:t>
      </w:r>
    </w:p>
    <w:p w:rsidR="007712B0" w:rsidRPr="00143A61" w:rsidP="00442D6D">
      <w:pPr>
        <w:spacing w:line="240" w:lineRule="auto"/>
        <w:ind w:firstLine="567"/>
        <w:jc w:val="both"/>
        <w:rPr>
          <w:rFonts w:ascii="Arial" w:hAnsi="Arial" w:cs="Arial"/>
          <w:sz w:val="24"/>
          <w:szCs w:val="24"/>
        </w:rPr>
      </w:pPr>
    </w:p>
    <w:p w:rsidR="00E147C0" w:rsidRPr="00143A61" w:rsidP="00143A61">
      <w:pPr>
        <w:spacing w:line="276" w:lineRule="auto"/>
        <w:ind w:firstLine="567"/>
        <w:jc w:val="both"/>
        <w:rPr>
          <w:rFonts w:ascii="Arial" w:hAnsi="Arial" w:cs="Arial"/>
          <w:sz w:val="24"/>
          <w:szCs w:val="24"/>
        </w:rPr>
      </w:pPr>
      <w:r w:rsidRPr="00143A61">
        <w:rPr>
          <w:rFonts w:ascii="Arial" w:hAnsi="Arial" w:cs="Arial"/>
          <w:sz w:val="24"/>
          <w:szCs w:val="24"/>
        </w:rPr>
        <w:t xml:space="preserve">Assim, a inovação legislativa </w:t>
      </w:r>
      <w:r w:rsidRPr="00143A61" w:rsidR="006552B8">
        <w:rPr>
          <w:rFonts w:ascii="Arial" w:hAnsi="Arial" w:cs="Arial"/>
          <w:sz w:val="24"/>
          <w:szCs w:val="24"/>
        </w:rPr>
        <w:t xml:space="preserve">que se propõe busca corrigir distorções e </w:t>
      </w:r>
      <w:r w:rsidRPr="00143A61" w:rsidR="00C418CE">
        <w:rPr>
          <w:rFonts w:ascii="Arial" w:hAnsi="Arial" w:cs="Arial"/>
          <w:sz w:val="24"/>
          <w:szCs w:val="24"/>
        </w:rPr>
        <w:t xml:space="preserve">harmonizar-se até mesmo com o entendimento </w:t>
      </w:r>
      <w:r w:rsidRPr="00143A61" w:rsidR="00D73CCA">
        <w:rPr>
          <w:rFonts w:ascii="Arial" w:hAnsi="Arial" w:cs="Arial"/>
          <w:sz w:val="24"/>
          <w:szCs w:val="24"/>
        </w:rPr>
        <w:t>majoritário do assunto</w:t>
      </w:r>
      <w:r w:rsidRPr="00143A61" w:rsidR="00C418CE">
        <w:rPr>
          <w:rFonts w:ascii="Arial" w:hAnsi="Arial" w:cs="Arial"/>
          <w:sz w:val="24"/>
          <w:szCs w:val="24"/>
        </w:rPr>
        <w:t xml:space="preserve"> conforme se pode inferir pelos julgados que a seguir colacionamos para bem ilustrar o presente: </w:t>
      </w:r>
    </w:p>
    <w:p w:rsidR="00FC14A2" w:rsidRPr="00143A61" w:rsidP="00442D6D">
      <w:pPr>
        <w:spacing w:line="240" w:lineRule="auto"/>
        <w:ind w:firstLine="567"/>
        <w:jc w:val="both"/>
        <w:rPr>
          <w:rFonts w:ascii="Arial" w:hAnsi="Arial" w:cs="Arial"/>
          <w:sz w:val="24"/>
          <w:szCs w:val="24"/>
        </w:rPr>
      </w:pPr>
    </w:p>
    <w:p w:rsidR="0038552F" w:rsidRPr="00143A61" w:rsidP="00DA29F2">
      <w:pPr>
        <w:spacing w:line="240" w:lineRule="auto"/>
        <w:ind w:left="1134" w:right="1133" w:firstLine="567"/>
        <w:jc w:val="both"/>
        <w:rPr>
          <w:rFonts w:ascii="Arial" w:hAnsi="Arial" w:cs="Arial"/>
          <w:i/>
          <w:iCs/>
          <w:sz w:val="20"/>
          <w:szCs w:val="20"/>
        </w:rPr>
      </w:pPr>
      <w:r w:rsidRPr="00143A61">
        <w:rPr>
          <w:rFonts w:ascii="Arial" w:hAnsi="Arial" w:cs="Arial"/>
          <w:i/>
          <w:iCs/>
          <w:sz w:val="20"/>
          <w:szCs w:val="20"/>
        </w:rPr>
        <w:t xml:space="preserve">Mandado de Segurança – ITBI - Deve ser calculado sobre o valor do negócio jurídico realizado transação ou sobre o valor venal do imóvel para fins de IPTU, aquele que for maior, afastando o "valor de referência" - Ilegalidade da apuração do valor venal previsto em desacordo com o CTN - Ofensa ao princípio da legalidade tributária, artigo 150, inciso I da CF Precedentes – Violação do direito líquido e certo demonstrado - Precedentes do C. Órgão Especial deste </w:t>
      </w:r>
      <w:r w:rsidRPr="00143A61">
        <w:rPr>
          <w:rFonts w:ascii="Arial" w:hAnsi="Arial" w:cs="Arial"/>
          <w:i/>
          <w:iCs/>
          <w:sz w:val="20"/>
          <w:szCs w:val="20"/>
        </w:rPr>
        <w:t>Egr</w:t>
      </w:r>
      <w:r w:rsidRPr="00143A61">
        <w:rPr>
          <w:rFonts w:ascii="Arial" w:hAnsi="Arial" w:cs="Arial"/>
          <w:i/>
          <w:iCs/>
          <w:sz w:val="20"/>
          <w:szCs w:val="20"/>
        </w:rPr>
        <w:t xml:space="preserve">. TJSP - IRDR cadastrado sob o n.º 2243516-62.2017.8.26.0000 - Tema 19 do TJSP Tese: "Base de cálculo do ITBI, devendo corresponder ao valor venal do imóvel ou ao valor da transação, prevalecendo o que for maior" – Recursos Improvidos, com observação.  (TJSP; Apelação Cível 1000559-32.2020.8.26.0650; Relator (a): </w:t>
      </w:r>
      <w:r w:rsidRPr="00143A61">
        <w:rPr>
          <w:rFonts w:ascii="Arial" w:hAnsi="Arial" w:cs="Arial"/>
          <w:i/>
          <w:iCs/>
          <w:sz w:val="20"/>
          <w:szCs w:val="20"/>
        </w:rPr>
        <w:t>Burza</w:t>
      </w:r>
      <w:r w:rsidRPr="00143A61">
        <w:rPr>
          <w:rFonts w:ascii="Arial" w:hAnsi="Arial" w:cs="Arial"/>
          <w:i/>
          <w:iCs/>
          <w:sz w:val="20"/>
          <w:szCs w:val="20"/>
        </w:rPr>
        <w:t xml:space="preserve"> Neto; Órgão Julgador: 18ª Câmara de Direito Público; Foro de Valinhos - 3ª Vara; Data do Julgamento: 08/03/2021; Data de Registro: 08/03/2021).</w:t>
      </w:r>
    </w:p>
    <w:p w:rsidR="00DA29F2" w:rsidRPr="00143A61" w:rsidP="00DA29F2">
      <w:pPr>
        <w:spacing w:line="240" w:lineRule="auto"/>
        <w:ind w:left="1134" w:right="1133" w:firstLine="567"/>
        <w:jc w:val="both"/>
        <w:rPr>
          <w:rFonts w:ascii="Arial" w:hAnsi="Arial" w:cs="Arial"/>
          <w:i/>
          <w:iCs/>
          <w:sz w:val="20"/>
          <w:szCs w:val="20"/>
        </w:rPr>
      </w:pPr>
    </w:p>
    <w:p w:rsidR="00DA29F2" w:rsidRPr="00143A61" w:rsidP="0052175F">
      <w:pPr>
        <w:spacing w:line="240" w:lineRule="auto"/>
        <w:ind w:left="1134" w:right="1133" w:firstLine="567"/>
        <w:jc w:val="both"/>
        <w:rPr>
          <w:rFonts w:ascii="Arial" w:hAnsi="Arial" w:cs="Arial"/>
          <w:i/>
          <w:iCs/>
          <w:sz w:val="20"/>
          <w:szCs w:val="20"/>
        </w:rPr>
      </w:pPr>
      <w:r w:rsidRPr="00143A61">
        <w:rPr>
          <w:rFonts w:ascii="Arial" w:hAnsi="Arial" w:cs="Arial"/>
          <w:i/>
          <w:iCs/>
          <w:sz w:val="20"/>
          <w:szCs w:val="20"/>
        </w:rPr>
        <w:t xml:space="preserve">Mandado de Segurança – ITBI - Deve ser calculado sobre o valor do negócio jurídico realizado transação ou sobre o valor venal do imóvel para fins de IPTU, aquele que for maior, afastando o "valor de referência" - Ilegalidade da apuração do valor venal previsto em desacordo com o CTN - Ofensa ao princípio da legalidade tributária, artigo 150, inciso I da CF Precedentes – Violação do direito líquido e certo demonstrado - Precedentes do C. Órgão Especial deste </w:t>
      </w:r>
      <w:r w:rsidRPr="00143A61">
        <w:rPr>
          <w:rFonts w:ascii="Arial" w:hAnsi="Arial" w:cs="Arial"/>
          <w:i/>
          <w:iCs/>
          <w:sz w:val="20"/>
          <w:szCs w:val="20"/>
        </w:rPr>
        <w:t>Egr</w:t>
      </w:r>
      <w:r w:rsidRPr="00143A61">
        <w:rPr>
          <w:rFonts w:ascii="Arial" w:hAnsi="Arial" w:cs="Arial"/>
          <w:i/>
          <w:iCs/>
          <w:sz w:val="20"/>
          <w:szCs w:val="20"/>
        </w:rPr>
        <w:t xml:space="preserve">. TJSP - IRDR cadastrado sob o n.º 2243516-62.2017.8.26.0000 - Tema 19 do TJSP Tese: "Base de cálculo do ITBI, devendo corresponder ao valor venal do imóvel ou ao valor da transação, prevalecendo o que for maior" – Recursos Improvidos, com observação.  (TJSP; Apelação Cível 1000559-32.2020.8.26.0650; Relator (a): </w:t>
      </w:r>
      <w:r w:rsidRPr="00143A61">
        <w:rPr>
          <w:rFonts w:ascii="Arial" w:hAnsi="Arial" w:cs="Arial"/>
          <w:i/>
          <w:iCs/>
          <w:sz w:val="20"/>
          <w:szCs w:val="20"/>
        </w:rPr>
        <w:t>Burza</w:t>
      </w:r>
      <w:r w:rsidRPr="00143A61">
        <w:rPr>
          <w:rFonts w:ascii="Arial" w:hAnsi="Arial" w:cs="Arial"/>
          <w:i/>
          <w:iCs/>
          <w:sz w:val="20"/>
          <w:szCs w:val="20"/>
        </w:rPr>
        <w:t xml:space="preserve"> Neto; Órgão Julgador: 18ª Câmara de Direito Público; Foro de Valinhos - 3ª Vara; Data do Julgamento: 08/03/2021; Data de Registro: 08/03/2021)</w:t>
      </w:r>
    </w:p>
    <w:p w:rsidR="00004F11" w:rsidRPr="00143A61" w:rsidP="008E4241">
      <w:pPr>
        <w:spacing w:line="240" w:lineRule="auto"/>
        <w:ind w:left="1134" w:right="1133" w:firstLine="567"/>
        <w:jc w:val="both"/>
        <w:rPr>
          <w:rFonts w:ascii="Arial" w:hAnsi="Arial" w:cs="Arial"/>
          <w:sz w:val="24"/>
          <w:szCs w:val="24"/>
        </w:rPr>
      </w:pPr>
    </w:p>
    <w:p w:rsidR="00040D8F" w:rsidRPr="00143A61" w:rsidP="00143A61">
      <w:pPr>
        <w:spacing w:line="276" w:lineRule="auto"/>
        <w:ind w:firstLine="567"/>
        <w:jc w:val="both"/>
        <w:rPr>
          <w:rFonts w:ascii="Arial" w:hAnsi="Arial" w:cs="Arial"/>
          <w:sz w:val="24"/>
          <w:szCs w:val="24"/>
        </w:rPr>
      </w:pPr>
      <w:r w:rsidRPr="00143A61">
        <w:rPr>
          <w:rFonts w:ascii="Arial" w:hAnsi="Arial" w:cs="Arial"/>
          <w:sz w:val="24"/>
          <w:szCs w:val="24"/>
        </w:rPr>
        <w:t xml:space="preserve">Não menos oportuno ainda, consignar, que tal proposta, visa atender a demanda </w:t>
      </w:r>
      <w:r w:rsidRPr="00143A61" w:rsidR="00F91B5B">
        <w:rPr>
          <w:rFonts w:ascii="Arial" w:hAnsi="Arial" w:cs="Arial"/>
          <w:sz w:val="24"/>
          <w:szCs w:val="24"/>
        </w:rPr>
        <w:t xml:space="preserve">expressiva de contribuintes que todos os dias realizam transações imobiliárias, </w:t>
      </w:r>
      <w:r w:rsidRPr="00143A61">
        <w:rPr>
          <w:rFonts w:ascii="Arial" w:hAnsi="Arial" w:cs="Arial"/>
          <w:sz w:val="24"/>
          <w:szCs w:val="24"/>
        </w:rPr>
        <w:t xml:space="preserve">que </w:t>
      </w:r>
      <w:r w:rsidRPr="00143A61" w:rsidR="00340DD0">
        <w:rPr>
          <w:rFonts w:ascii="Arial" w:hAnsi="Arial" w:cs="Arial"/>
          <w:sz w:val="24"/>
          <w:szCs w:val="24"/>
        </w:rPr>
        <w:t xml:space="preserve">muitas </w:t>
      </w:r>
      <w:r w:rsidRPr="00143A61">
        <w:rPr>
          <w:rFonts w:ascii="Arial" w:hAnsi="Arial" w:cs="Arial"/>
          <w:sz w:val="24"/>
          <w:szCs w:val="24"/>
        </w:rPr>
        <w:t xml:space="preserve">vezes não </w:t>
      </w:r>
      <w:r w:rsidRPr="00143A61" w:rsidR="00340DD0">
        <w:rPr>
          <w:rFonts w:ascii="Arial" w:hAnsi="Arial" w:cs="Arial"/>
          <w:sz w:val="24"/>
          <w:szCs w:val="24"/>
        </w:rPr>
        <w:t>reunindo condições</w:t>
      </w:r>
      <w:r w:rsidRPr="00143A61" w:rsidR="00FC14A2">
        <w:rPr>
          <w:rFonts w:ascii="Arial" w:hAnsi="Arial" w:cs="Arial"/>
          <w:sz w:val="24"/>
          <w:szCs w:val="24"/>
        </w:rPr>
        <w:t>,</w:t>
      </w:r>
      <w:r w:rsidRPr="00143A61" w:rsidR="00340DD0">
        <w:rPr>
          <w:rFonts w:ascii="Arial" w:hAnsi="Arial" w:cs="Arial"/>
          <w:sz w:val="24"/>
          <w:szCs w:val="24"/>
        </w:rPr>
        <w:t xml:space="preserve"> nem tampouco conhecimento prévio, acabam </w:t>
      </w:r>
      <w:r w:rsidRPr="00143A61" w:rsidR="007A02CE">
        <w:rPr>
          <w:rFonts w:ascii="Arial" w:hAnsi="Arial" w:cs="Arial"/>
          <w:sz w:val="24"/>
          <w:szCs w:val="24"/>
        </w:rPr>
        <w:t xml:space="preserve">se </w:t>
      </w:r>
      <w:r w:rsidRPr="00143A61" w:rsidR="00340DD0">
        <w:rPr>
          <w:rFonts w:ascii="Arial" w:hAnsi="Arial" w:cs="Arial"/>
          <w:sz w:val="24"/>
          <w:szCs w:val="24"/>
        </w:rPr>
        <w:t xml:space="preserve">onerando </w:t>
      </w:r>
      <w:r w:rsidRPr="00143A61" w:rsidR="007A02CE">
        <w:rPr>
          <w:rFonts w:ascii="Arial" w:hAnsi="Arial" w:cs="Arial"/>
          <w:sz w:val="24"/>
          <w:szCs w:val="24"/>
        </w:rPr>
        <w:t>injustamente com a</w:t>
      </w:r>
      <w:r w:rsidRPr="00143A61" w:rsidR="00340DD0">
        <w:rPr>
          <w:rFonts w:ascii="Arial" w:hAnsi="Arial" w:cs="Arial"/>
          <w:sz w:val="24"/>
          <w:szCs w:val="24"/>
        </w:rPr>
        <w:t xml:space="preserve"> aquisição</w:t>
      </w:r>
      <w:r w:rsidRPr="00143A61" w:rsidR="007A02CE">
        <w:rPr>
          <w:rFonts w:ascii="Arial" w:hAnsi="Arial" w:cs="Arial"/>
          <w:sz w:val="24"/>
          <w:szCs w:val="24"/>
        </w:rPr>
        <w:t xml:space="preserve"> i</w:t>
      </w:r>
      <w:r w:rsidRPr="00143A61" w:rsidR="00340DD0">
        <w:rPr>
          <w:rFonts w:ascii="Arial" w:hAnsi="Arial" w:cs="Arial"/>
          <w:sz w:val="24"/>
          <w:szCs w:val="24"/>
        </w:rPr>
        <w:t xml:space="preserve">mobiliária além daquilo que se entende por justo e devido, mas que ao mesmo tempo, </w:t>
      </w:r>
      <w:r w:rsidRPr="00143A61" w:rsidR="00860D4F">
        <w:rPr>
          <w:rFonts w:ascii="Arial" w:hAnsi="Arial" w:cs="Arial"/>
          <w:sz w:val="24"/>
          <w:szCs w:val="24"/>
        </w:rPr>
        <w:t xml:space="preserve">poderia representar economia no pagamento do débito tributário. </w:t>
      </w:r>
    </w:p>
    <w:p w:rsidR="00793883" w:rsidRPr="00143A61" w:rsidP="00143A61">
      <w:pPr>
        <w:spacing w:line="276" w:lineRule="auto"/>
        <w:ind w:firstLine="567"/>
        <w:jc w:val="both"/>
        <w:rPr>
          <w:rFonts w:ascii="Arial" w:hAnsi="Arial" w:cs="Arial"/>
          <w:sz w:val="24"/>
          <w:szCs w:val="24"/>
        </w:rPr>
      </w:pPr>
      <w:r w:rsidRPr="00143A61">
        <w:rPr>
          <w:rFonts w:ascii="Arial" w:hAnsi="Arial" w:cs="Arial"/>
          <w:sz w:val="24"/>
          <w:szCs w:val="24"/>
        </w:rPr>
        <w:t>Dessa feita contando com a compreensão de V. Excias, é que se apresenta a inclusa minuta de lei, requerendo seja remetido ao conhecimento e manifestação</w:t>
      </w:r>
      <w:r w:rsidRPr="00143A61" w:rsidR="0006509F">
        <w:rPr>
          <w:rFonts w:ascii="Arial" w:hAnsi="Arial" w:cs="Arial"/>
          <w:sz w:val="24"/>
          <w:szCs w:val="24"/>
        </w:rPr>
        <w:t xml:space="preserve"> prévi</w:t>
      </w:r>
      <w:r w:rsidRPr="00143A61" w:rsidR="00FC14A2">
        <w:rPr>
          <w:rFonts w:ascii="Arial" w:hAnsi="Arial" w:cs="Arial"/>
          <w:sz w:val="24"/>
          <w:szCs w:val="24"/>
        </w:rPr>
        <w:t>a</w:t>
      </w:r>
      <w:r w:rsidRPr="00143A61">
        <w:rPr>
          <w:rFonts w:ascii="Arial" w:hAnsi="Arial" w:cs="Arial"/>
          <w:sz w:val="24"/>
          <w:szCs w:val="24"/>
        </w:rPr>
        <w:t xml:space="preserve"> das Comissões e </w:t>
      </w:r>
      <w:r w:rsidRPr="00143A61">
        <w:rPr>
          <w:rFonts w:ascii="Arial" w:hAnsi="Arial" w:cs="Arial"/>
          <w:sz w:val="24"/>
          <w:szCs w:val="24"/>
        </w:rPr>
        <w:t>após</w:t>
      </w:r>
      <w:r w:rsidRPr="00143A61">
        <w:rPr>
          <w:rFonts w:ascii="Arial" w:hAnsi="Arial" w:cs="Arial"/>
          <w:sz w:val="24"/>
          <w:szCs w:val="24"/>
        </w:rPr>
        <w:t xml:space="preserve"> submetido em Plenário para debates e votação, tendo a certeza que, esta corpo de vereadores assim aprovando, certamente estará contribuindo para o barateamento da pesada carga tributária </w:t>
      </w:r>
      <w:r w:rsidRPr="00143A61" w:rsidR="0006509F">
        <w:rPr>
          <w:rFonts w:ascii="Arial" w:hAnsi="Arial" w:cs="Arial"/>
          <w:sz w:val="24"/>
          <w:szCs w:val="24"/>
        </w:rPr>
        <w:t xml:space="preserve">a que os cidadãos valinhenses encontram-se submetidos. </w:t>
      </w:r>
    </w:p>
    <w:p w:rsidR="00FC14A2" w:rsidRPr="00143A61" w:rsidP="00143A61">
      <w:pPr>
        <w:spacing w:line="276" w:lineRule="auto"/>
        <w:ind w:firstLine="567"/>
        <w:jc w:val="both"/>
        <w:rPr>
          <w:rFonts w:ascii="Arial" w:hAnsi="Arial" w:cs="Arial"/>
          <w:sz w:val="24"/>
          <w:szCs w:val="24"/>
        </w:rPr>
      </w:pPr>
    </w:p>
    <w:p w:rsidR="009F11C2" w:rsidRPr="00143A61" w:rsidP="00751AAE">
      <w:pPr>
        <w:spacing w:line="240" w:lineRule="auto"/>
        <w:ind w:firstLine="567"/>
        <w:jc w:val="both"/>
        <w:rPr>
          <w:rFonts w:ascii="Arial" w:hAnsi="Arial" w:cs="Arial"/>
          <w:sz w:val="24"/>
          <w:szCs w:val="24"/>
        </w:rPr>
      </w:pPr>
    </w:p>
    <w:p w:rsidR="00751AAE" w:rsidRPr="00143A61" w:rsidP="00751AAE">
      <w:pPr>
        <w:spacing w:after="0" w:line="240" w:lineRule="auto"/>
        <w:jc w:val="center"/>
        <w:rPr>
          <w:rFonts w:ascii="Arial" w:hAnsi="Arial" w:cs="Arial"/>
          <w:b/>
          <w:bCs/>
          <w:sz w:val="24"/>
          <w:szCs w:val="24"/>
        </w:rPr>
      </w:pPr>
    </w:p>
    <w:p w:rsidR="00751AAE" w:rsidRPr="00143A61" w:rsidP="00751AAE">
      <w:pPr>
        <w:spacing w:after="0" w:line="240" w:lineRule="auto"/>
        <w:jc w:val="center"/>
        <w:rPr>
          <w:rFonts w:ascii="Arial" w:hAnsi="Arial" w:cs="Arial"/>
          <w:b/>
          <w:bCs/>
          <w:sz w:val="24"/>
          <w:szCs w:val="24"/>
        </w:rPr>
      </w:pPr>
      <w:r w:rsidRPr="00143A61">
        <w:rPr>
          <w:rFonts w:ascii="Arial" w:hAnsi="Arial" w:cs="Arial"/>
          <w:b/>
          <w:bCs/>
          <w:sz w:val="24"/>
          <w:szCs w:val="24"/>
        </w:rPr>
        <w:t>Franklin Duarte de Lima</w:t>
      </w:r>
    </w:p>
    <w:p w:rsidR="00751AAE" w:rsidRPr="00143A61" w:rsidP="00751AAE">
      <w:pPr>
        <w:spacing w:after="0" w:line="240" w:lineRule="auto"/>
        <w:jc w:val="center"/>
        <w:rPr>
          <w:rFonts w:ascii="Arial" w:hAnsi="Arial" w:cs="Arial"/>
          <w:sz w:val="24"/>
          <w:szCs w:val="24"/>
        </w:rPr>
      </w:pPr>
      <w:r>
        <w:rPr>
          <w:rFonts w:ascii="Arial" w:hAnsi="Arial" w:cs="Arial"/>
          <w:sz w:val="24"/>
          <w:szCs w:val="24"/>
        </w:rPr>
        <w:t xml:space="preserve">Vereador </w:t>
      </w:r>
    </w:p>
    <w:p w:rsidR="00294E22" w:rsidRPr="00143A61" w:rsidP="00A1734E">
      <w:pPr>
        <w:rPr>
          <w:rFonts w:ascii="Arial" w:hAnsi="Arial" w:cs="Arial"/>
          <w:sz w:val="20"/>
          <w:szCs w:val="20"/>
        </w:rPr>
      </w:pPr>
    </w:p>
    <w:p w:rsidR="00C73838" w:rsidP="00C73838">
      <w:pPr>
        <w:rPr>
          <w:rFonts w:ascii="Arial" w:hAnsi="Arial" w:cs="Arial"/>
          <w:b/>
          <w:i/>
          <w:iCs/>
          <w:sz w:val="20"/>
          <w:szCs w:val="20"/>
        </w:rPr>
      </w:pPr>
    </w:p>
    <w:p w:rsidR="00C73838" w:rsidP="00C73838">
      <w:pPr>
        <w:rPr>
          <w:rFonts w:ascii="Arial" w:hAnsi="Arial" w:cs="Arial"/>
          <w:b/>
          <w:i/>
          <w:iCs/>
          <w:sz w:val="20"/>
          <w:szCs w:val="20"/>
        </w:rPr>
      </w:pPr>
    </w:p>
    <w:p w:rsidR="00C73838" w:rsidP="00C73838">
      <w:pPr>
        <w:rPr>
          <w:rFonts w:ascii="Arial" w:hAnsi="Arial" w:cs="Arial"/>
          <w:b/>
          <w:i/>
          <w:iCs/>
          <w:sz w:val="20"/>
          <w:szCs w:val="20"/>
        </w:rPr>
      </w:pPr>
    </w:p>
    <w:p w:rsidR="00C73838" w:rsidP="00C73838">
      <w:pPr>
        <w:rPr>
          <w:rFonts w:ascii="Arial" w:hAnsi="Arial" w:cs="Arial"/>
          <w:b/>
          <w:i/>
          <w:iCs/>
          <w:sz w:val="20"/>
          <w:szCs w:val="20"/>
        </w:rPr>
      </w:pPr>
    </w:p>
    <w:p w:rsidR="00C73838" w:rsidP="00C73838">
      <w:pPr>
        <w:rPr>
          <w:rFonts w:ascii="Arial" w:hAnsi="Arial" w:cs="Arial"/>
          <w:b/>
          <w:i/>
          <w:iCs/>
          <w:sz w:val="20"/>
          <w:szCs w:val="20"/>
        </w:rPr>
      </w:pPr>
    </w:p>
    <w:p w:rsidR="00C73838" w:rsidP="00C73838">
      <w:pPr>
        <w:rPr>
          <w:rFonts w:ascii="Arial" w:hAnsi="Arial" w:cs="Arial"/>
          <w:b/>
          <w:i/>
          <w:iCs/>
          <w:sz w:val="20"/>
          <w:szCs w:val="20"/>
        </w:rPr>
      </w:pPr>
    </w:p>
    <w:p w:rsidR="00C73838" w:rsidP="00C73838">
      <w:pPr>
        <w:rPr>
          <w:rFonts w:ascii="Arial" w:hAnsi="Arial" w:cs="Arial"/>
          <w:b/>
          <w:i/>
          <w:iCs/>
          <w:sz w:val="20"/>
          <w:szCs w:val="20"/>
        </w:rPr>
      </w:pPr>
    </w:p>
    <w:p w:rsidR="00C73838" w:rsidP="00C73838">
      <w:pPr>
        <w:rPr>
          <w:rFonts w:ascii="Arial" w:hAnsi="Arial" w:cs="Arial"/>
          <w:b/>
          <w:i/>
          <w:iCs/>
          <w:sz w:val="20"/>
          <w:szCs w:val="20"/>
        </w:rPr>
      </w:pPr>
    </w:p>
    <w:p w:rsidR="00DA6D86" w:rsidP="00C73838">
      <w:pPr>
        <w:rPr>
          <w:rFonts w:ascii="Arial" w:hAnsi="Arial" w:cs="Arial"/>
          <w:b/>
          <w:i/>
          <w:iCs/>
          <w:sz w:val="20"/>
          <w:szCs w:val="20"/>
        </w:rPr>
      </w:pPr>
    </w:p>
    <w:p w:rsidR="00DA6D86" w:rsidP="00C73838">
      <w:pPr>
        <w:rPr>
          <w:rFonts w:ascii="Arial" w:hAnsi="Arial" w:cs="Arial"/>
          <w:b/>
          <w:i/>
          <w:iCs/>
          <w:sz w:val="20"/>
          <w:szCs w:val="20"/>
        </w:rPr>
      </w:pPr>
    </w:p>
    <w:p w:rsidR="00C73838" w:rsidP="00C73838">
      <w:pPr>
        <w:rPr>
          <w:rFonts w:ascii="Arial" w:hAnsi="Arial" w:cs="Arial"/>
          <w:b/>
          <w:i/>
          <w:iCs/>
          <w:sz w:val="20"/>
          <w:szCs w:val="20"/>
        </w:rPr>
      </w:pPr>
    </w:p>
    <w:p w:rsidR="00C73838" w:rsidP="00C73838">
      <w:pPr>
        <w:rPr>
          <w:rFonts w:ascii="Arial" w:hAnsi="Arial" w:cs="Arial"/>
          <w:b/>
          <w:i/>
          <w:iCs/>
          <w:sz w:val="20"/>
          <w:szCs w:val="20"/>
        </w:rPr>
      </w:pPr>
    </w:p>
    <w:p w:rsidR="00C73838" w:rsidP="00C73838">
      <w:pPr>
        <w:rPr>
          <w:rFonts w:ascii="Arial" w:hAnsi="Arial" w:cs="Arial"/>
          <w:b/>
          <w:i/>
          <w:iCs/>
          <w:sz w:val="20"/>
          <w:szCs w:val="20"/>
        </w:rPr>
      </w:pPr>
    </w:p>
    <w:p w:rsidR="00C73838" w:rsidP="00C73838">
      <w:pPr>
        <w:rPr>
          <w:rFonts w:ascii="Arial" w:hAnsi="Arial" w:cs="Arial"/>
          <w:b/>
          <w:i/>
          <w:iCs/>
          <w:sz w:val="20"/>
          <w:szCs w:val="20"/>
        </w:rPr>
      </w:pPr>
    </w:p>
    <w:p w:rsidR="00C73838" w:rsidP="00C73838">
      <w:pPr>
        <w:rPr>
          <w:rFonts w:ascii="Arial" w:hAnsi="Arial" w:cs="Arial"/>
          <w:b/>
          <w:iCs/>
          <w:sz w:val="20"/>
          <w:szCs w:val="20"/>
        </w:rPr>
      </w:pPr>
    </w:p>
    <w:p w:rsidR="00DA6D86" w:rsidP="00C73838">
      <w:pPr>
        <w:rPr>
          <w:rFonts w:ascii="Arial" w:hAnsi="Arial" w:cs="Arial"/>
          <w:b/>
          <w:iCs/>
          <w:sz w:val="20"/>
          <w:szCs w:val="20"/>
        </w:rPr>
      </w:pPr>
    </w:p>
    <w:p w:rsidR="00DA6D86" w:rsidP="00C73838">
      <w:pPr>
        <w:rPr>
          <w:rFonts w:ascii="Arial" w:hAnsi="Arial" w:cs="Arial"/>
          <w:b/>
          <w:iCs/>
          <w:sz w:val="20"/>
          <w:szCs w:val="20"/>
        </w:rPr>
      </w:pPr>
    </w:p>
    <w:p w:rsidR="00C73838" w:rsidP="00C73838">
      <w:pPr>
        <w:rPr>
          <w:rFonts w:ascii="Arial" w:hAnsi="Arial" w:cs="Arial"/>
          <w:b/>
          <w:iCs/>
          <w:sz w:val="20"/>
          <w:szCs w:val="20"/>
        </w:rPr>
      </w:pPr>
    </w:p>
    <w:p w:rsidR="00C73838" w:rsidP="00C73838">
      <w:pPr>
        <w:rPr>
          <w:rFonts w:ascii="Arial" w:hAnsi="Arial" w:cs="Arial"/>
          <w:b/>
          <w:iCs/>
          <w:sz w:val="20"/>
          <w:szCs w:val="20"/>
        </w:rPr>
      </w:pPr>
    </w:p>
    <w:p w:rsidR="00DA6D86" w:rsidP="00C73838">
      <w:pPr>
        <w:rPr>
          <w:rFonts w:ascii="Arial" w:hAnsi="Arial" w:cs="Arial"/>
          <w:b/>
          <w:iCs/>
        </w:rPr>
      </w:pPr>
    </w:p>
    <w:p w:rsidR="00751AAE" w:rsidRPr="00DA6D86" w:rsidP="00C73838">
      <w:pPr>
        <w:rPr>
          <w:rFonts w:ascii="Arial" w:hAnsi="Arial" w:cs="Arial"/>
          <w:b/>
          <w:i/>
          <w:iCs/>
        </w:rPr>
      </w:pPr>
      <w:r w:rsidRPr="00DA6D86">
        <w:rPr>
          <w:rFonts w:ascii="Arial" w:hAnsi="Arial" w:cs="Arial"/>
          <w:b/>
          <w:iCs/>
        </w:rPr>
        <w:t>PROJETO DE LEI Nº _______ /2021</w:t>
      </w:r>
    </w:p>
    <w:p w:rsidR="0076421E" w:rsidP="00F82241">
      <w:pPr>
        <w:spacing w:after="0" w:line="360" w:lineRule="auto"/>
        <w:ind w:left="1134"/>
        <w:jc w:val="center"/>
        <w:rPr>
          <w:rFonts w:ascii="Arial" w:hAnsi="Arial" w:cs="Arial"/>
          <w:b/>
          <w:i/>
          <w:iCs/>
        </w:rPr>
      </w:pPr>
    </w:p>
    <w:p w:rsidR="00DA6D86" w:rsidRPr="00DA6D86" w:rsidP="00F82241">
      <w:pPr>
        <w:spacing w:after="0" w:line="360" w:lineRule="auto"/>
        <w:ind w:left="1134"/>
        <w:jc w:val="center"/>
        <w:rPr>
          <w:rFonts w:ascii="Arial" w:hAnsi="Arial" w:cs="Arial"/>
          <w:b/>
          <w:i/>
          <w:iCs/>
        </w:rPr>
      </w:pPr>
    </w:p>
    <w:p w:rsidR="00751AAE" w:rsidRPr="00DA6D86" w:rsidP="0076421E">
      <w:pPr>
        <w:spacing w:after="0" w:line="240" w:lineRule="auto"/>
        <w:ind w:left="3969"/>
        <w:jc w:val="both"/>
        <w:rPr>
          <w:rFonts w:ascii="Arial" w:hAnsi="Arial" w:cs="Arial"/>
          <w:b/>
          <w:i/>
          <w:iCs/>
        </w:rPr>
      </w:pPr>
      <w:r w:rsidRPr="00DA6D86">
        <w:rPr>
          <w:rFonts w:ascii="Arial" w:hAnsi="Arial" w:cs="Arial"/>
          <w:b/>
          <w:bCs/>
          <w:iCs/>
        </w:rPr>
        <w:t>“Altera o código tributário no que se refere à base de cálculo para fins de cobrança do ITBI, dando nova redação ao artigo 197, na forma que se especifica”</w:t>
      </w:r>
      <w:r w:rsidRPr="00DA6D86" w:rsidR="007B1688">
        <w:rPr>
          <w:rFonts w:ascii="Arial" w:hAnsi="Arial" w:cs="Arial"/>
          <w:b/>
          <w:bCs/>
          <w:i/>
          <w:iCs/>
        </w:rPr>
        <w:t xml:space="preserve">. </w:t>
      </w:r>
    </w:p>
    <w:p w:rsidR="00294E22" w:rsidP="00F82241">
      <w:pPr>
        <w:spacing w:after="0" w:line="360" w:lineRule="auto"/>
        <w:ind w:left="1134"/>
        <w:jc w:val="both"/>
        <w:rPr>
          <w:rFonts w:ascii="Arial" w:hAnsi="Arial" w:cs="Arial"/>
          <w:i/>
          <w:iCs/>
          <w:sz w:val="16"/>
          <w:szCs w:val="16"/>
        </w:rPr>
      </w:pPr>
    </w:p>
    <w:p w:rsidR="00C73838" w:rsidRPr="00DA6D86" w:rsidP="00F82241">
      <w:pPr>
        <w:spacing w:after="0" w:line="360" w:lineRule="auto"/>
        <w:ind w:left="1134"/>
        <w:jc w:val="both"/>
        <w:rPr>
          <w:rFonts w:ascii="Arial" w:hAnsi="Arial" w:cs="Arial"/>
          <w:i/>
          <w:iCs/>
          <w:sz w:val="24"/>
          <w:szCs w:val="24"/>
        </w:rPr>
      </w:pPr>
    </w:p>
    <w:p w:rsidR="00BE4915" w:rsidRPr="00DA6D86" w:rsidP="00F82241">
      <w:pPr>
        <w:spacing w:after="0" w:line="360" w:lineRule="auto"/>
        <w:ind w:left="1134"/>
        <w:jc w:val="both"/>
        <w:rPr>
          <w:rFonts w:ascii="Arial" w:hAnsi="Arial" w:cs="Arial"/>
          <w:i/>
          <w:iCs/>
          <w:sz w:val="24"/>
          <w:szCs w:val="24"/>
        </w:rPr>
      </w:pPr>
    </w:p>
    <w:p w:rsidR="00294E22" w:rsidRPr="00DA6D86" w:rsidP="00143A61">
      <w:pPr>
        <w:spacing w:after="0" w:line="360" w:lineRule="auto"/>
        <w:ind w:left="1134" w:firstLine="282"/>
        <w:jc w:val="both"/>
        <w:rPr>
          <w:rFonts w:ascii="Arial" w:hAnsi="Arial" w:cs="Arial"/>
          <w:iCs/>
          <w:sz w:val="24"/>
          <w:szCs w:val="24"/>
        </w:rPr>
      </w:pPr>
      <w:r w:rsidRPr="00DA6D86">
        <w:rPr>
          <w:rFonts w:ascii="Arial" w:hAnsi="Arial" w:cs="Arial"/>
          <w:b/>
          <w:bCs/>
          <w:iCs/>
          <w:sz w:val="24"/>
          <w:szCs w:val="24"/>
        </w:rPr>
        <w:t xml:space="preserve">   </w:t>
      </w:r>
      <w:r w:rsidRPr="00DA6D86" w:rsidR="00751AAE">
        <w:rPr>
          <w:rFonts w:ascii="Arial" w:hAnsi="Arial" w:cs="Arial"/>
          <w:b/>
          <w:bCs/>
          <w:iCs/>
          <w:sz w:val="24"/>
          <w:szCs w:val="24"/>
        </w:rPr>
        <w:t>LUCIMARA GODOY VILAS BOAS</w:t>
      </w:r>
      <w:r w:rsidRPr="00DA6D86" w:rsidR="00751AAE">
        <w:rPr>
          <w:rFonts w:ascii="Arial" w:hAnsi="Arial" w:cs="Arial"/>
          <w:iCs/>
          <w:sz w:val="24"/>
          <w:szCs w:val="24"/>
        </w:rPr>
        <w:t>, Prefeita do Município de Valinhos, no uso das</w:t>
      </w:r>
      <w:r w:rsidRPr="00DA6D86">
        <w:rPr>
          <w:rFonts w:ascii="Arial" w:hAnsi="Arial" w:cs="Arial"/>
          <w:iCs/>
          <w:sz w:val="24"/>
          <w:szCs w:val="24"/>
        </w:rPr>
        <w:t xml:space="preserve"> atribuições que lhe confere a L</w:t>
      </w:r>
      <w:r w:rsidRPr="00DA6D86" w:rsidR="00751AAE">
        <w:rPr>
          <w:rFonts w:ascii="Arial" w:hAnsi="Arial" w:cs="Arial"/>
          <w:iCs/>
          <w:sz w:val="24"/>
          <w:szCs w:val="24"/>
        </w:rPr>
        <w:t>ei,</w:t>
      </w:r>
    </w:p>
    <w:p w:rsidR="0076421E" w:rsidRPr="00DA6D86" w:rsidP="00F82241">
      <w:pPr>
        <w:spacing w:after="0" w:line="360" w:lineRule="auto"/>
        <w:ind w:left="1134"/>
        <w:jc w:val="both"/>
        <w:rPr>
          <w:rFonts w:ascii="Arial" w:hAnsi="Arial" w:cs="Arial"/>
          <w:iCs/>
          <w:sz w:val="24"/>
          <w:szCs w:val="24"/>
        </w:rPr>
      </w:pPr>
    </w:p>
    <w:p w:rsidR="00751AAE" w:rsidRPr="00DA6D86" w:rsidP="00F82241">
      <w:pPr>
        <w:spacing w:after="0" w:line="360" w:lineRule="auto"/>
        <w:ind w:left="1134"/>
        <w:jc w:val="both"/>
        <w:rPr>
          <w:rFonts w:ascii="Arial" w:hAnsi="Arial" w:cs="Arial"/>
          <w:iCs/>
          <w:sz w:val="24"/>
          <w:szCs w:val="24"/>
        </w:rPr>
      </w:pPr>
      <w:r w:rsidRPr="00DA6D86">
        <w:rPr>
          <w:rFonts w:ascii="Arial" w:hAnsi="Arial" w:cs="Arial"/>
          <w:iCs/>
          <w:sz w:val="24"/>
          <w:szCs w:val="24"/>
        </w:rPr>
        <w:t xml:space="preserve">FAZ SABER que a Câmara Municipal de Valinhos aprovou, e ela, </w:t>
      </w:r>
      <w:r w:rsidRPr="00DA6D86" w:rsidR="003D1BA6">
        <w:rPr>
          <w:rFonts w:ascii="Arial" w:hAnsi="Arial" w:cs="Arial"/>
          <w:b/>
          <w:bCs/>
          <w:iCs/>
          <w:sz w:val="24"/>
          <w:szCs w:val="24"/>
        </w:rPr>
        <w:t>SANCIONA</w:t>
      </w:r>
      <w:r w:rsidRPr="00DA6D86" w:rsidR="00143A61">
        <w:rPr>
          <w:rFonts w:ascii="Arial" w:hAnsi="Arial" w:cs="Arial"/>
          <w:b/>
          <w:bCs/>
          <w:iCs/>
          <w:sz w:val="24"/>
          <w:szCs w:val="24"/>
        </w:rPr>
        <w:t xml:space="preserve"> </w:t>
      </w:r>
      <w:r w:rsidRPr="00DA6D86">
        <w:rPr>
          <w:rFonts w:ascii="Arial" w:hAnsi="Arial" w:cs="Arial"/>
          <w:iCs/>
          <w:sz w:val="24"/>
          <w:szCs w:val="24"/>
        </w:rPr>
        <w:t>a seguinte Lei:</w:t>
      </w:r>
    </w:p>
    <w:p w:rsidR="00F82241" w:rsidRPr="00DA6D86" w:rsidP="00F82241">
      <w:pPr>
        <w:spacing w:after="0" w:line="360" w:lineRule="auto"/>
        <w:ind w:left="1134"/>
        <w:jc w:val="both"/>
        <w:rPr>
          <w:rFonts w:ascii="Arial" w:hAnsi="Arial" w:cs="Arial"/>
          <w:iCs/>
          <w:sz w:val="24"/>
          <w:szCs w:val="24"/>
        </w:rPr>
      </w:pPr>
    </w:p>
    <w:p w:rsidR="00954A2A" w:rsidRPr="00DA6D86" w:rsidP="00143A61">
      <w:pPr>
        <w:spacing w:after="0" w:line="360" w:lineRule="auto"/>
        <w:ind w:left="1134" w:firstLine="426"/>
        <w:jc w:val="both"/>
        <w:rPr>
          <w:rFonts w:ascii="Arial" w:hAnsi="Arial" w:cs="Arial"/>
          <w:iCs/>
          <w:sz w:val="24"/>
          <w:szCs w:val="24"/>
        </w:rPr>
      </w:pPr>
      <w:r w:rsidRPr="00DA6D86">
        <w:rPr>
          <w:rFonts w:ascii="Arial" w:hAnsi="Arial" w:cs="Arial"/>
          <w:b/>
          <w:bCs/>
          <w:iCs/>
          <w:sz w:val="24"/>
          <w:szCs w:val="24"/>
        </w:rPr>
        <w:t>Art. 1º</w:t>
      </w:r>
      <w:r w:rsidRPr="00DA6D86" w:rsidR="00751AAE">
        <w:rPr>
          <w:rFonts w:ascii="Arial" w:hAnsi="Arial" w:cs="Arial"/>
          <w:b/>
          <w:bCs/>
          <w:iCs/>
          <w:sz w:val="24"/>
          <w:szCs w:val="24"/>
        </w:rPr>
        <w:t xml:space="preserve">. </w:t>
      </w:r>
      <w:r w:rsidRPr="00DA6D86" w:rsidR="008275B6">
        <w:rPr>
          <w:rFonts w:ascii="Arial" w:hAnsi="Arial" w:cs="Arial"/>
          <w:iCs/>
          <w:sz w:val="24"/>
          <w:szCs w:val="24"/>
        </w:rPr>
        <w:t xml:space="preserve">Esta lei </w:t>
      </w:r>
      <w:r w:rsidRPr="00DA6D86" w:rsidR="00497098">
        <w:rPr>
          <w:rFonts w:ascii="Arial" w:hAnsi="Arial" w:cs="Arial"/>
          <w:iCs/>
          <w:sz w:val="24"/>
          <w:szCs w:val="24"/>
        </w:rPr>
        <w:t xml:space="preserve">altera os </w:t>
      </w:r>
      <w:r w:rsidRPr="00DA6D86" w:rsidR="008275B6">
        <w:rPr>
          <w:rFonts w:ascii="Arial" w:hAnsi="Arial" w:cs="Arial"/>
          <w:iCs/>
          <w:sz w:val="24"/>
          <w:szCs w:val="24"/>
        </w:rPr>
        <w:t xml:space="preserve">critérios </w:t>
      </w:r>
      <w:r w:rsidRPr="00DA6D86" w:rsidR="00D5373E">
        <w:rPr>
          <w:rFonts w:ascii="Arial" w:hAnsi="Arial" w:cs="Arial"/>
          <w:iCs/>
          <w:sz w:val="24"/>
          <w:szCs w:val="24"/>
        </w:rPr>
        <w:t xml:space="preserve">da base de cálculo para apuração do </w:t>
      </w:r>
      <w:r w:rsidRPr="00DA6D86" w:rsidR="008275B6">
        <w:rPr>
          <w:rFonts w:ascii="Arial" w:hAnsi="Arial" w:cs="Arial"/>
          <w:iCs/>
          <w:sz w:val="24"/>
          <w:szCs w:val="24"/>
        </w:rPr>
        <w:t>ITBI</w:t>
      </w:r>
      <w:r w:rsidRPr="00DA6D86" w:rsidR="00D555F3">
        <w:rPr>
          <w:rFonts w:ascii="Arial" w:hAnsi="Arial" w:cs="Arial"/>
          <w:iCs/>
          <w:sz w:val="24"/>
          <w:szCs w:val="24"/>
        </w:rPr>
        <w:t xml:space="preserve">, </w:t>
      </w:r>
      <w:r w:rsidRPr="00DA6D86" w:rsidR="00277FC2">
        <w:rPr>
          <w:rFonts w:ascii="Arial" w:hAnsi="Arial" w:cs="Arial"/>
          <w:iCs/>
          <w:sz w:val="24"/>
          <w:szCs w:val="24"/>
        </w:rPr>
        <w:t xml:space="preserve">alterando-se a redação original da Lei 3.915/2005 e demais alterações legislativas posteriores. </w:t>
      </w:r>
    </w:p>
    <w:p w:rsidR="00F82241" w:rsidRPr="00DA6D86" w:rsidP="00F82241">
      <w:pPr>
        <w:spacing w:after="0" w:line="360" w:lineRule="auto"/>
        <w:ind w:left="1134"/>
        <w:jc w:val="both"/>
        <w:rPr>
          <w:rFonts w:ascii="Arial" w:hAnsi="Arial" w:cs="Arial"/>
          <w:b/>
          <w:bCs/>
          <w:iCs/>
          <w:sz w:val="24"/>
          <w:szCs w:val="24"/>
        </w:rPr>
      </w:pPr>
    </w:p>
    <w:p w:rsidR="00D938FA" w:rsidRPr="00DA6D86" w:rsidP="00143A61">
      <w:pPr>
        <w:spacing w:after="0" w:line="360" w:lineRule="auto"/>
        <w:ind w:left="1134" w:firstLine="426"/>
        <w:jc w:val="both"/>
        <w:rPr>
          <w:rFonts w:ascii="Arial" w:hAnsi="Arial" w:cs="Arial"/>
          <w:iCs/>
          <w:sz w:val="24"/>
          <w:szCs w:val="24"/>
        </w:rPr>
      </w:pPr>
      <w:r w:rsidRPr="00DA6D86">
        <w:rPr>
          <w:rFonts w:ascii="Arial" w:hAnsi="Arial" w:cs="Arial"/>
          <w:b/>
          <w:bCs/>
          <w:iCs/>
          <w:sz w:val="24"/>
          <w:szCs w:val="24"/>
        </w:rPr>
        <w:t xml:space="preserve">Art. 2º. </w:t>
      </w:r>
      <w:r w:rsidRPr="00DA6D86" w:rsidR="00316470">
        <w:rPr>
          <w:rFonts w:ascii="Arial" w:hAnsi="Arial" w:cs="Arial"/>
          <w:iCs/>
          <w:sz w:val="24"/>
          <w:szCs w:val="24"/>
        </w:rPr>
        <w:t xml:space="preserve">O </w:t>
      </w:r>
      <w:r w:rsidRPr="00DA6D86" w:rsidR="00746F3A">
        <w:rPr>
          <w:rFonts w:ascii="Arial" w:hAnsi="Arial" w:cs="Arial"/>
          <w:iCs/>
          <w:sz w:val="24"/>
          <w:szCs w:val="24"/>
        </w:rPr>
        <w:t xml:space="preserve">artigo 197 da Lei 3.915, </w:t>
      </w:r>
      <w:r w:rsidRPr="00DA6D86" w:rsidR="00277FC2">
        <w:rPr>
          <w:rFonts w:ascii="Arial" w:hAnsi="Arial" w:cs="Arial"/>
          <w:iCs/>
          <w:sz w:val="24"/>
          <w:szCs w:val="24"/>
        </w:rPr>
        <w:t xml:space="preserve">de 29 de setembro de 2005 </w:t>
      </w:r>
      <w:r w:rsidRPr="00DA6D86" w:rsidR="00746F3A">
        <w:rPr>
          <w:rFonts w:ascii="Arial" w:hAnsi="Arial" w:cs="Arial"/>
          <w:iCs/>
          <w:sz w:val="24"/>
          <w:szCs w:val="24"/>
        </w:rPr>
        <w:t xml:space="preserve">que </w:t>
      </w:r>
      <w:r w:rsidRPr="00DA6D86" w:rsidR="005621C8">
        <w:rPr>
          <w:rFonts w:ascii="Arial" w:hAnsi="Arial" w:cs="Arial"/>
          <w:iCs/>
          <w:sz w:val="24"/>
          <w:szCs w:val="24"/>
        </w:rPr>
        <w:t>Institui o Código Tributário do Município de Valinhos, passa a ter a seguinte redação:</w:t>
      </w:r>
    </w:p>
    <w:p w:rsidR="00B761A8" w:rsidRPr="00DA6D86" w:rsidP="005621C8">
      <w:pPr>
        <w:spacing w:after="0" w:line="360" w:lineRule="auto"/>
        <w:ind w:left="1134"/>
        <w:jc w:val="both"/>
        <w:rPr>
          <w:rFonts w:ascii="Arial" w:hAnsi="Arial" w:cs="Arial"/>
          <w:iCs/>
          <w:sz w:val="24"/>
          <w:szCs w:val="24"/>
        </w:rPr>
      </w:pPr>
    </w:p>
    <w:p w:rsidR="00257039" w:rsidRPr="00DA6D86" w:rsidP="005621C8">
      <w:pPr>
        <w:spacing w:after="0" w:line="360" w:lineRule="auto"/>
        <w:ind w:left="2410"/>
        <w:jc w:val="both"/>
        <w:rPr>
          <w:rFonts w:ascii="Arial" w:hAnsi="Arial" w:cs="Arial"/>
          <w:b/>
          <w:bCs/>
          <w:iCs/>
          <w:sz w:val="24"/>
          <w:szCs w:val="24"/>
        </w:rPr>
      </w:pPr>
      <w:r w:rsidRPr="00DA6D86">
        <w:rPr>
          <w:rFonts w:ascii="Arial" w:hAnsi="Arial" w:cs="Arial"/>
          <w:b/>
          <w:bCs/>
          <w:iCs/>
          <w:sz w:val="24"/>
          <w:szCs w:val="24"/>
        </w:rPr>
        <w:t xml:space="preserve">Art. 197. A base de cálculo do imposto </w:t>
      </w:r>
      <w:r w:rsidRPr="00DA6D86" w:rsidR="00E16BE2">
        <w:rPr>
          <w:rFonts w:ascii="Arial" w:hAnsi="Arial" w:cs="Arial"/>
          <w:b/>
          <w:bCs/>
          <w:iCs/>
          <w:sz w:val="24"/>
          <w:szCs w:val="24"/>
        </w:rPr>
        <w:t xml:space="preserve">será </w:t>
      </w:r>
      <w:r w:rsidRPr="00DA6D86">
        <w:rPr>
          <w:rFonts w:ascii="Arial" w:hAnsi="Arial" w:cs="Arial"/>
          <w:b/>
          <w:bCs/>
          <w:iCs/>
          <w:sz w:val="24"/>
          <w:szCs w:val="24"/>
        </w:rPr>
        <w:t>o valor</w:t>
      </w:r>
      <w:r w:rsidR="00DA6D86">
        <w:rPr>
          <w:rFonts w:ascii="Arial" w:hAnsi="Arial" w:cs="Arial"/>
          <w:b/>
          <w:bCs/>
          <w:iCs/>
          <w:sz w:val="24"/>
          <w:szCs w:val="24"/>
        </w:rPr>
        <w:t xml:space="preserve"> </w:t>
      </w:r>
      <w:r w:rsidRPr="00DA6D86">
        <w:rPr>
          <w:rFonts w:ascii="Arial" w:hAnsi="Arial" w:cs="Arial"/>
          <w:b/>
          <w:bCs/>
          <w:iCs/>
          <w:sz w:val="24"/>
          <w:szCs w:val="24"/>
        </w:rPr>
        <w:t>venal</w:t>
      </w:r>
      <w:r w:rsidRPr="00DA6D86" w:rsidR="00955C66">
        <w:rPr>
          <w:rFonts w:ascii="Arial" w:hAnsi="Arial" w:cs="Arial"/>
          <w:b/>
          <w:bCs/>
          <w:iCs/>
          <w:sz w:val="24"/>
          <w:szCs w:val="24"/>
        </w:rPr>
        <w:t xml:space="preserve"> ou </w:t>
      </w:r>
      <w:r w:rsidRPr="00DA6D86" w:rsidR="00E16BE2">
        <w:rPr>
          <w:rFonts w:ascii="Arial" w:hAnsi="Arial" w:cs="Arial"/>
          <w:b/>
          <w:bCs/>
          <w:iCs/>
          <w:sz w:val="24"/>
          <w:szCs w:val="24"/>
        </w:rPr>
        <w:t>aquele declarado no negócio, o que for superior</w:t>
      </w:r>
      <w:r w:rsidRPr="00DA6D86" w:rsidR="00277FC2">
        <w:rPr>
          <w:rFonts w:ascii="Arial" w:hAnsi="Arial" w:cs="Arial"/>
          <w:b/>
          <w:bCs/>
          <w:iCs/>
          <w:sz w:val="24"/>
          <w:szCs w:val="24"/>
        </w:rPr>
        <w:t xml:space="preserve">, não se admitindo a utilização de qualquer valor de referência elaborado previamente pela Fazenda Pública. </w:t>
      </w:r>
    </w:p>
    <w:p w:rsidR="00257039" w:rsidRPr="00DA6D86" w:rsidP="00F82241">
      <w:pPr>
        <w:spacing w:after="0" w:line="360" w:lineRule="auto"/>
        <w:ind w:left="1134"/>
        <w:jc w:val="both"/>
        <w:rPr>
          <w:rFonts w:ascii="Arial" w:hAnsi="Arial" w:cs="Arial"/>
          <w:iCs/>
          <w:sz w:val="24"/>
          <w:szCs w:val="24"/>
        </w:rPr>
      </w:pPr>
    </w:p>
    <w:p w:rsidR="00B331BC" w:rsidRPr="00DA6D86" w:rsidP="00143A61">
      <w:pPr>
        <w:spacing w:after="0" w:line="360" w:lineRule="auto"/>
        <w:ind w:left="1134" w:firstLine="426"/>
        <w:jc w:val="both"/>
        <w:rPr>
          <w:rFonts w:ascii="Arial" w:hAnsi="Arial" w:cs="Arial"/>
          <w:iCs/>
          <w:sz w:val="24"/>
          <w:szCs w:val="24"/>
        </w:rPr>
      </w:pPr>
      <w:r w:rsidRPr="00DA6D86">
        <w:rPr>
          <w:rFonts w:ascii="Arial" w:hAnsi="Arial" w:cs="Arial"/>
          <w:b/>
          <w:bCs/>
          <w:iCs/>
          <w:sz w:val="24"/>
          <w:szCs w:val="24"/>
        </w:rPr>
        <w:t xml:space="preserve">Art. </w:t>
      </w:r>
      <w:r w:rsidRPr="00DA6D86" w:rsidR="00CD018D">
        <w:rPr>
          <w:rFonts w:ascii="Arial" w:hAnsi="Arial" w:cs="Arial"/>
          <w:b/>
          <w:bCs/>
          <w:iCs/>
          <w:sz w:val="24"/>
          <w:szCs w:val="24"/>
        </w:rPr>
        <w:t>3</w:t>
      </w:r>
      <w:r w:rsidRPr="00DA6D86">
        <w:rPr>
          <w:rFonts w:ascii="Arial" w:hAnsi="Arial" w:cs="Arial"/>
          <w:b/>
          <w:bCs/>
          <w:iCs/>
          <w:sz w:val="24"/>
          <w:szCs w:val="24"/>
        </w:rPr>
        <w:t>º</w:t>
      </w:r>
      <w:r w:rsidRPr="00DA6D86" w:rsidR="003D1BA6">
        <w:rPr>
          <w:rFonts w:ascii="Arial" w:hAnsi="Arial" w:cs="Arial"/>
          <w:b/>
          <w:bCs/>
          <w:iCs/>
          <w:sz w:val="24"/>
          <w:szCs w:val="24"/>
        </w:rPr>
        <w:t>.</w:t>
      </w:r>
      <w:r w:rsidRPr="00DA6D86">
        <w:rPr>
          <w:rFonts w:ascii="Arial" w:hAnsi="Arial" w:cs="Arial"/>
          <w:iCs/>
          <w:sz w:val="24"/>
          <w:szCs w:val="24"/>
        </w:rPr>
        <w:t xml:space="preserve"> Esta Lei entra em vigo</w:t>
      </w:r>
      <w:r w:rsidRPr="00DA6D86" w:rsidR="0030449A">
        <w:rPr>
          <w:rFonts w:ascii="Arial" w:hAnsi="Arial" w:cs="Arial"/>
          <w:iCs/>
          <w:sz w:val="24"/>
          <w:szCs w:val="24"/>
        </w:rPr>
        <w:t>r, na data de sua publicação, revogando-se as disposições em contrário.</w:t>
      </w:r>
    </w:p>
    <w:p w:rsidR="00143A61" w:rsidRPr="00DA6D86" w:rsidP="00C73838">
      <w:pPr>
        <w:spacing w:after="0" w:line="360" w:lineRule="auto"/>
        <w:jc w:val="both"/>
        <w:rPr>
          <w:rFonts w:ascii="Arial" w:hAnsi="Arial" w:cs="Arial"/>
          <w:iCs/>
          <w:sz w:val="24"/>
          <w:szCs w:val="24"/>
        </w:rPr>
      </w:pPr>
    </w:p>
    <w:p w:rsidR="003D1BA6" w:rsidRPr="00DA6D86" w:rsidP="00F82241">
      <w:pPr>
        <w:spacing w:after="0" w:line="360" w:lineRule="auto"/>
        <w:ind w:left="1134"/>
        <w:jc w:val="both"/>
        <w:rPr>
          <w:rFonts w:ascii="Arial" w:hAnsi="Arial" w:cs="Arial"/>
          <w:iCs/>
          <w:sz w:val="24"/>
          <w:szCs w:val="24"/>
        </w:rPr>
      </w:pPr>
      <w:r w:rsidRPr="00DA6D86">
        <w:rPr>
          <w:rFonts w:ascii="Arial" w:hAnsi="Arial" w:cs="Arial"/>
          <w:iCs/>
          <w:sz w:val="24"/>
          <w:szCs w:val="24"/>
        </w:rPr>
        <w:t>Prefeitu</w:t>
      </w:r>
      <w:r w:rsidRPr="00DA6D86" w:rsidR="00143A61">
        <w:rPr>
          <w:rFonts w:ascii="Arial" w:hAnsi="Arial" w:cs="Arial"/>
          <w:iCs/>
          <w:sz w:val="24"/>
          <w:szCs w:val="24"/>
        </w:rPr>
        <w:t xml:space="preserve">ra do Município de Valinhos, </w:t>
      </w:r>
    </w:p>
    <w:p w:rsidR="00C73838" w:rsidRPr="00DA6D86" w:rsidP="00C73838">
      <w:pPr>
        <w:spacing w:after="0" w:line="360" w:lineRule="auto"/>
        <w:ind w:left="1134"/>
        <w:jc w:val="both"/>
        <w:rPr>
          <w:rFonts w:ascii="Arial" w:hAnsi="Arial" w:cs="Arial"/>
          <w:iCs/>
          <w:sz w:val="24"/>
          <w:szCs w:val="24"/>
        </w:rPr>
      </w:pPr>
      <w:r w:rsidRPr="00DA6D86">
        <w:rPr>
          <w:rFonts w:ascii="Arial" w:hAnsi="Arial" w:cs="Arial"/>
          <w:iCs/>
          <w:sz w:val="24"/>
          <w:szCs w:val="24"/>
        </w:rPr>
        <w:t>Aos</w:t>
      </w:r>
    </w:p>
    <w:p w:rsidR="00C73838" w:rsidRPr="00DA6D86" w:rsidP="00C73838">
      <w:pPr>
        <w:spacing w:after="0" w:line="360" w:lineRule="auto"/>
        <w:ind w:left="1134"/>
        <w:jc w:val="both"/>
        <w:rPr>
          <w:rFonts w:ascii="Arial" w:hAnsi="Arial" w:cs="Arial"/>
          <w:iCs/>
          <w:sz w:val="24"/>
          <w:szCs w:val="24"/>
        </w:rPr>
      </w:pPr>
    </w:p>
    <w:p w:rsidR="00D938FA" w:rsidRPr="00DA6D86" w:rsidP="00F82241">
      <w:pPr>
        <w:spacing w:after="0" w:line="360" w:lineRule="auto"/>
        <w:ind w:left="1134"/>
        <w:jc w:val="center"/>
        <w:rPr>
          <w:rFonts w:ascii="Arial" w:hAnsi="Arial" w:cs="Arial"/>
          <w:b/>
          <w:bCs/>
          <w:iCs/>
          <w:sz w:val="24"/>
          <w:szCs w:val="24"/>
        </w:rPr>
      </w:pPr>
    </w:p>
    <w:p w:rsidR="003D1BA6" w:rsidRPr="00DA6D86" w:rsidP="00F82241">
      <w:pPr>
        <w:spacing w:after="0" w:line="360" w:lineRule="auto"/>
        <w:ind w:left="1134"/>
        <w:jc w:val="center"/>
        <w:rPr>
          <w:rFonts w:ascii="Arial" w:hAnsi="Arial" w:cs="Arial"/>
          <w:b/>
          <w:bCs/>
          <w:iCs/>
          <w:sz w:val="24"/>
          <w:szCs w:val="24"/>
        </w:rPr>
      </w:pPr>
      <w:r w:rsidRPr="00DA6D86">
        <w:rPr>
          <w:rFonts w:ascii="Arial" w:hAnsi="Arial" w:cs="Arial"/>
          <w:b/>
          <w:bCs/>
          <w:iCs/>
          <w:sz w:val="24"/>
          <w:szCs w:val="24"/>
        </w:rPr>
        <w:t>LUCIMARA GODOY VILAS BOAS</w:t>
      </w:r>
    </w:p>
    <w:p w:rsidR="003D1BA6" w:rsidRPr="00DA6D86" w:rsidP="00F82241">
      <w:pPr>
        <w:spacing w:after="0" w:line="360" w:lineRule="auto"/>
        <w:ind w:left="1134"/>
        <w:jc w:val="center"/>
        <w:rPr>
          <w:rFonts w:ascii="Arial" w:hAnsi="Arial" w:cs="Arial"/>
          <w:iCs/>
          <w:sz w:val="24"/>
          <w:szCs w:val="24"/>
        </w:rPr>
      </w:pPr>
      <w:r w:rsidRPr="00DA6D86">
        <w:rPr>
          <w:rFonts w:ascii="Arial" w:hAnsi="Arial" w:cs="Arial"/>
          <w:iCs/>
          <w:sz w:val="24"/>
          <w:szCs w:val="24"/>
        </w:rPr>
        <w:t>Prefeita Municipal</w:t>
      </w:r>
    </w:p>
    <w:sectPr w:rsidSect="00C73838">
      <w:pgSz w:w="11906" w:h="16838"/>
      <w:pgMar w:top="2977" w:right="1701" w:bottom="184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962"/>
    <w:multiLevelType w:val="hybridMultilevel"/>
    <w:tmpl w:val="8D30E1F0"/>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
    <w:nsid w:val="3C7061A2"/>
    <w:multiLevelType w:val="hybridMultilevel"/>
    <w:tmpl w:val="2EA017E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E2A06D7"/>
    <w:multiLevelType w:val="hybridMultilevel"/>
    <w:tmpl w:val="875C5F70"/>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
    <w:nsid w:val="6E9646C5"/>
    <w:multiLevelType w:val="hybridMultilevel"/>
    <w:tmpl w:val="A932529C"/>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1734E"/>
    <w:rsid w:val="00004F11"/>
    <w:rsid w:val="00010ABB"/>
    <w:rsid w:val="00031527"/>
    <w:rsid w:val="00040D8F"/>
    <w:rsid w:val="000517CE"/>
    <w:rsid w:val="0005385C"/>
    <w:rsid w:val="00054D5B"/>
    <w:rsid w:val="0006509F"/>
    <w:rsid w:val="00066577"/>
    <w:rsid w:val="000712E3"/>
    <w:rsid w:val="000C137D"/>
    <w:rsid w:val="000D03E8"/>
    <w:rsid w:val="000E0861"/>
    <w:rsid w:val="0010056E"/>
    <w:rsid w:val="00121B9F"/>
    <w:rsid w:val="00143A61"/>
    <w:rsid w:val="00147031"/>
    <w:rsid w:val="00184AD8"/>
    <w:rsid w:val="001A216C"/>
    <w:rsid w:val="001B4285"/>
    <w:rsid w:val="001C7BE4"/>
    <w:rsid w:val="001E3880"/>
    <w:rsid w:val="001E5198"/>
    <w:rsid w:val="001E7D7E"/>
    <w:rsid w:val="001F72B1"/>
    <w:rsid w:val="00206057"/>
    <w:rsid w:val="0020613F"/>
    <w:rsid w:val="0021728A"/>
    <w:rsid w:val="002221CB"/>
    <w:rsid w:val="002371F5"/>
    <w:rsid w:val="002512FD"/>
    <w:rsid w:val="00257039"/>
    <w:rsid w:val="0026063D"/>
    <w:rsid w:val="00274F0F"/>
    <w:rsid w:val="00277FC2"/>
    <w:rsid w:val="00294E22"/>
    <w:rsid w:val="002D4F57"/>
    <w:rsid w:val="002E6417"/>
    <w:rsid w:val="002F1F86"/>
    <w:rsid w:val="0030004A"/>
    <w:rsid w:val="00301CFF"/>
    <w:rsid w:val="0030449A"/>
    <w:rsid w:val="00306B4D"/>
    <w:rsid w:val="0031116E"/>
    <w:rsid w:val="00316470"/>
    <w:rsid w:val="00331EDE"/>
    <w:rsid w:val="00340DD0"/>
    <w:rsid w:val="00367039"/>
    <w:rsid w:val="00382827"/>
    <w:rsid w:val="00384899"/>
    <w:rsid w:val="0038552F"/>
    <w:rsid w:val="003A4C6F"/>
    <w:rsid w:val="003A4EA3"/>
    <w:rsid w:val="003B4429"/>
    <w:rsid w:val="003C5020"/>
    <w:rsid w:val="003D1BA6"/>
    <w:rsid w:val="003D7A6F"/>
    <w:rsid w:val="003E368F"/>
    <w:rsid w:val="004014F0"/>
    <w:rsid w:val="00404065"/>
    <w:rsid w:val="004118AE"/>
    <w:rsid w:val="004177BD"/>
    <w:rsid w:val="00442D6D"/>
    <w:rsid w:val="0044483F"/>
    <w:rsid w:val="00471433"/>
    <w:rsid w:val="004758D4"/>
    <w:rsid w:val="00483926"/>
    <w:rsid w:val="00486AFA"/>
    <w:rsid w:val="00497098"/>
    <w:rsid w:val="004C33DF"/>
    <w:rsid w:val="004C6695"/>
    <w:rsid w:val="005029FD"/>
    <w:rsid w:val="00516AA8"/>
    <w:rsid w:val="005209FF"/>
    <w:rsid w:val="0052175F"/>
    <w:rsid w:val="00544B4C"/>
    <w:rsid w:val="00556141"/>
    <w:rsid w:val="005621C8"/>
    <w:rsid w:val="00563441"/>
    <w:rsid w:val="00564672"/>
    <w:rsid w:val="00573C36"/>
    <w:rsid w:val="00594AAF"/>
    <w:rsid w:val="00596AF7"/>
    <w:rsid w:val="005E1D24"/>
    <w:rsid w:val="005E4AD7"/>
    <w:rsid w:val="00603B4D"/>
    <w:rsid w:val="0062033A"/>
    <w:rsid w:val="006242DC"/>
    <w:rsid w:val="00625375"/>
    <w:rsid w:val="0063030F"/>
    <w:rsid w:val="006552B8"/>
    <w:rsid w:val="00656F47"/>
    <w:rsid w:val="00657A80"/>
    <w:rsid w:val="00657FB9"/>
    <w:rsid w:val="00663064"/>
    <w:rsid w:val="00673931"/>
    <w:rsid w:val="00680CAD"/>
    <w:rsid w:val="00694855"/>
    <w:rsid w:val="006A7A95"/>
    <w:rsid w:val="006F2672"/>
    <w:rsid w:val="006F2BD0"/>
    <w:rsid w:val="006F7563"/>
    <w:rsid w:val="00712291"/>
    <w:rsid w:val="00713F3F"/>
    <w:rsid w:val="00743AAE"/>
    <w:rsid w:val="00746F3A"/>
    <w:rsid w:val="00751AAE"/>
    <w:rsid w:val="0076421E"/>
    <w:rsid w:val="00766A82"/>
    <w:rsid w:val="00767CA9"/>
    <w:rsid w:val="007712B0"/>
    <w:rsid w:val="00776FE3"/>
    <w:rsid w:val="007845A6"/>
    <w:rsid w:val="00793883"/>
    <w:rsid w:val="00796B49"/>
    <w:rsid w:val="007A02CE"/>
    <w:rsid w:val="007B039B"/>
    <w:rsid w:val="007B1688"/>
    <w:rsid w:val="007E0F6C"/>
    <w:rsid w:val="007E6209"/>
    <w:rsid w:val="008032F2"/>
    <w:rsid w:val="00812B16"/>
    <w:rsid w:val="00816B84"/>
    <w:rsid w:val="00820058"/>
    <w:rsid w:val="008275B6"/>
    <w:rsid w:val="008339C5"/>
    <w:rsid w:val="00833CB0"/>
    <w:rsid w:val="00860D4F"/>
    <w:rsid w:val="00863006"/>
    <w:rsid w:val="008A7483"/>
    <w:rsid w:val="008B6424"/>
    <w:rsid w:val="008D3A99"/>
    <w:rsid w:val="008D5447"/>
    <w:rsid w:val="008D5A17"/>
    <w:rsid w:val="008E4241"/>
    <w:rsid w:val="008F39DC"/>
    <w:rsid w:val="00920FC7"/>
    <w:rsid w:val="009221D9"/>
    <w:rsid w:val="009266D2"/>
    <w:rsid w:val="00931E11"/>
    <w:rsid w:val="00952468"/>
    <w:rsid w:val="00954A2A"/>
    <w:rsid w:val="00955C66"/>
    <w:rsid w:val="00960FA0"/>
    <w:rsid w:val="0096463A"/>
    <w:rsid w:val="00997586"/>
    <w:rsid w:val="009B2529"/>
    <w:rsid w:val="009D0FC7"/>
    <w:rsid w:val="009D2A41"/>
    <w:rsid w:val="009E3260"/>
    <w:rsid w:val="009E581F"/>
    <w:rsid w:val="009F11C2"/>
    <w:rsid w:val="009F1A87"/>
    <w:rsid w:val="00A1734E"/>
    <w:rsid w:val="00A314D0"/>
    <w:rsid w:val="00A33E1E"/>
    <w:rsid w:val="00A462D1"/>
    <w:rsid w:val="00A54DC4"/>
    <w:rsid w:val="00A66002"/>
    <w:rsid w:val="00A73033"/>
    <w:rsid w:val="00A76EF2"/>
    <w:rsid w:val="00AB24D8"/>
    <w:rsid w:val="00AC4A57"/>
    <w:rsid w:val="00AC7196"/>
    <w:rsid w:val="00AD4341"/>
    <w:rsid w:val="00AD6CC4"/>
    <w:rsid w:val="00B05964"/>
    <w:rsid w:val="00B07267"/>
    <w:rsid w:val="00B122E9"/>
    <w:rsid w:val="00B13430"/>
    <w:rsid w:val="00B31F17"/>
    <w:rsid w:val="00B331BC"/>
    <w:rsid w:val="00B41419"/>
    <w:rsid w:val="00B44A90"/>
    <w:rsid w:val="00B46164"/>
    <w:rsid w:val="00B462B4"/>
    <w:rsid w:val="00B71338"/>
    <w:rsid w:val="00B761A8"/>
    <w:rsid w:val="00B95D8B"/>
    <w:rsid w:val="00BB1911"/>
    <w:rsid w:val="00BB7BF4"/>
    <w:rsid w:val="00BE06C5"/>
    <w:rsid w:val="00BE4915"/>
    <w:rsid w:val="00BE7C7F"/>
    <w:rsid w:val="00BF38E5"/>
    <w:rsid w:val="00C027F1"/>
    <w:rsid w:val="00C11EAC"/>
    <w:rsid w:val="00C35E58"/>
    <w:rsid w:val="00C400B8"/>
    <w:rsid w:val="00C418CE"/>
    <w:rsid w:val="00C477DC"/>
    <w:rsid w:val="00C515ED"/>
    <w:rsid w:val="00C72CFE"/>
    <w:rsid w:val="00C73838"/>
    <w:rsid w:val="00C75341"/>
    <w:rsid w:val="00C76F26"/>
    <w:rsid w:val="00C83FCA"/>
    <w:rsid w:val="00CA0540"/>
    <w:rsid w:val="00CA7985"/>
    <w:rsid w:val="00CB2D77"/>
    <w:rsid w:val="00CD018D"/>
    <w:rsid w:val="00CF5028"/>
    <w:rsid w:val="00D11E0E"/>
    <w:rsid w:val="00D156A0"/>
    <w:rsid w:val="00D156BB"/>
    <w:rsid w:val="00D23F8A"/>
    <w:rsid w:val="00D26D3E"/>
    <w:rsid w:val="00D30865"/>
    <w:rsid w:val="00D44BC4"/>
    <w:rsid w:val="00D45CD4"/>
    <w:rsid w:val="00D52579"/>
    <w:rsid w:val="00D5373E"/>
    <w:rsid w:val="00D555F3"/>
    <w:rsid w:val="00D60307"/>
    <w:rsid w:val="00D66BDB"/>
    <w:rsid w:val="00D73CCA"/>
    <w:rsid w:val="00D7679D"/>
    <w:rsid w:val="00D938FA"/>
    <w:rsid w:val="00DA2498"/>
    <w:rsid w:val="00DA29F2"/>
    <w:rsid w:val="00DA46A0"/>
    <w:rsid w:val="00DA6D86"/>
    <w:rsid w:val="00DB36EC"/>
    <w:rsid w:val="00DD35EB"/>
    <w:rsid w:val="00DE7DB1"/>
    <w:rsid w:val="00E12106"/>
    <w:rsid w:val="00E147C0"/>
    <w:rsid w:val="00E16BE2"/>
    <w:rsid w:val="00E2032A"/>
    <w:rsid w:val="00E30007"/>
    <w:rsid w:val="00E302BA"/>
    <w:rsid w:val="00E56B6A"/>
    <w:rsid w:val="00E77318"/>
    <w:rsid w:val="00E835CE"/>
    <w:rsid w:val="00E911D8"/>
    <w:rsid w:val="00E92248"/>
    <w:rsid w:val="00EA05E9"/>
    <w:rsid w:val="00EB16C4"/>
    <w:rsid w:val="00EC04C2"/>
    <w:rsid w:val="00F05FD2"/>
    <w:rsid w:val="00F466A3"/>
    <w:rsid w:val="00F719E9"/>
    <w:rsid w:val="00F82241"/>
    <w:rsid w:val="00F91B5B"/>
    <w:rsid w:val="00F96E5E"/>
    <w:rsid w:val="00FA04AA"/>
    <w:rsid w:val="00FA53D2"/>
    <w:rsid w:val="00FA5ADC"/>
    <w:rsid w:val="00FA5F48"/>
    <w:rsid w:val="00FB439E"/>
    <w:rsid w:val="00FB5FD3"/>
    <w:rsid w:val="00FC01E5"/>
    <w:rsid w:val="00FC14A2"/>
    <w:rsid w:val="00FC33EF"/>
    <w:rsid w:val="00FD351E"/>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1477</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E Galvão Capellato</dc:creator>
  <cp:lastModifiedBy>Assessor Franklin</cp:lastModifiedBy>
  <cp:revision>2</cp:revision>
  <cp:lastPrinted>2021-03-23T18:06:00Z</cp:lastPrinted>
  <dcterms:created xsi:type="dcterms:W3CDTF">2021-03-23T18:08:00Z</dcterms:created>
  <dcterms:modified xsi:type="dcterms:W3CDTF">2021-03-23T18:08:00Z</dcterms:modified>
</cp:coreProperties>
</file>