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CD17C8" w:rsidRDefault="0021344A" w:rsidP="00CD17C8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PROJETO DE LEI N.º </w:t>
      </w:r>
      <w:r w:rsidRPr="0021344A">
        <w:rPr>
          <w:rFonts w:ascii="Verdana" w:hAnsi="Verdana"/>
          <w:b/>
        </w:rPr>
        <w:t>102</w:t>
      </w:r>
      <w:r>
        <w:rPr>
          <w:rFonts w:ascii="Verdana" w:hAnsi="Verdana"/>
          <w:b/>
        </w:rPr>
        <w:t>/</w:t>
      </w:r>
      <w:r w:rsidRPr="0021344A">
        <w:rPr>
          <w:rFonts w:ascii="Verdana" w:hAnsi="Verdana"/>
          <w:b/>
        </w:rPr>
        <w:t>2019</w:t>
      </w:r>
    </w:p>
    <w:p w:rsidR="00A10011" w:rsidRPr="00CD17C8" w:rsidRDefault="00A10011" w:rsidP="00CD17C8">
      <w:pPr>
        <w:jc w:val="both"/>
        <w:rPr>
          <w:rFonts w:ascii="Verdana" w:hAnsi="Verdana"/>
        </w:rPr>
      </w:pPr>
    </w:p>
    <w:p w:rsidR="00A10011" w:rsidRPr="00CD17C8" w:rsidRDefault="00410750" w:rsidP="00CD17C8">
      <w:pPr>
        <w:ind w:left="4536"/>
        <w:jc w:val="both"/>
        <w:rPr>
          <w:rFonts w:ascii="Verdana" w:hAnsi="Verdana"/>
          <w:b/>
        </w:rPr>
      </w:pPr>
      <w:r w:rsidRPr="00CD17C8">
        <w:rPr>
          <w:rFonts w:ascii="Verdana" w:hAnsi="Verdana"/>
          <w:b/>
        </w:rPr>
        <w:t>Institui a Lei de Responsabilidade Educacional no âmbito do município de Valinhos, na forma que especifica.</w:t>
      </w:r>
    </w:p>
    <w:p w:rsidR="00A10011" w:rsidRPr="00CD17C8" w:rsidRDefault="00A10011" w:rsidP="00CD17C8">
      <w:pPr>
        <w:ind w:left="4536"/>
        <w:jc w:val="both"/>
        <w:rPr>
          <w:rFonts w:ascii="Verdana" w:hAnsi="Verdana"/>
          <w:b/>
        </w:rPr>
      </w:pPr>
    </w:p>
    <w:p w:rsidR="00A10011" w:rsidRPr="00CD17C8" w:rsidRDefault="00A10011" w:rsidP="00CD17C8">
      <w:pPr>
        <w:ind w:firstLine="1134"/>
        <w:jc w:val="both"/>
        <w:rPr>
          <w:rFonts w:ascii="Verdana" w:hAnsi="Verdana"/>
        </w:rPr>
      </w:pPr>
      <w:r w:rsidRPr="00CD17C8">
        <w:rPr>
          <w:rFonts w:ascii="Verdana" w:hAnsi="Verdana"/>
        </w:rPr>
        <w:t xml:space="preserve">A Vereadora </w:t>
      </w:r>
      <w:r w:rsidRPr="00CD17C8">
        <w:rPr>
          <w:rFonts w:ascii="Verdana" w:hAnsi="Verdana"/>
          <w:b/>
        </w:rPr>
        <w:t xml:space="preserve">Mônica Morandi </w:t>
      </w:r>
      <w:r w:rsidRPr="00CD17C8">
        <w:rPr>
          <w:rFonts w:ascii="Verdana" w:hAnsi="Verdana"/>
        </w:rPr>
        <w:t>apresenta, nos termos regimentais, o Projeto de Lei anexado, que “</w:t>
      </w:r>
      <w:r w:rsidR="00410750" w:rsidRPr="00CD17C8">
        <w:rPr>
          <w:rFonts w:ascii="Verdana" w:hAnsi="Verdana"/>
          <w:b/>
        </w:rPr>
        <w:t>Institui a Lei de Responsabilidade Educacional</w:t>
      </w:r>
      <w:r w:rsidR="004A55F8">
        <w:rPr>
          <w:rFonts w:ascii="Verdana" w:hAnsi="Verdana"/>
          <w:b/>
        </w:rPr>
        <w:t xml:space="preserve"> no âmbito do município de Valinhos, no forma que especifica</w:t>
      </w:r>
      <w:r w:rsidRPr="00CD17C8">
        <w:rPr>
          <w:rFonts w:ascii="Verdana" w:hAnsi="Verdana"/>
        </w:rPr>
        <w:t>”, para apreciação em plenário, requerendo sua aprovação e remessa ao Excelentíssimo Senhor Prefeito Municipal de Valinhos, nos termos que segue:</w:t>
      </w:r>
    </w:p>
    <w:p w:rsidR="009A3539" w:rsidRPr="00CD17C8" w:rsidRDefault="00410750" w:rsidP="00CD17C8">
      <w:pPr>
        <w:ind w:firstLine="1134"/>
        <w:jc w:val="both"/>
        <w:rPr>
          <w:rFonts w:ascii="Verdana" w:hAnsi="Verdana"/>
        </w:rPr>
      </w:pPr>
      <w:r w:rsidRPr="00CD17C8">
        <w:rPr>
          <w:rFonts w:ascii="Verdana" w:hAnsi="Verdana"/>
        </w:rPr>
        <w:t xml:space="preserve">Por “responsabilidade” deve-se entender a obrigação que pesa sobre um </w:t>
      </w:r>
      <w:r w:rsidR="0022738B">
        <w:rPr>
          <w:rFonts w:ascii="Verdana" w:hAnsi="Verdana"/>
        </w:rPr>
        <w:t>indivíduo</w:t>
      </w:r>
      <w:r w:rsidRPr="00CD17C8">
        <w:rPr>
          <w:rFonts w:ascii="Verdana" w:hAnsi="Verdana"/>
        </w:rPr>
        <w:t xml:space="preserve"> de responder por suas ações próprias ou de outros</w:t>
      </w:r>
      <w:r w:rsidR="00721D37" w:rsidRPr="00CD17C8">
        <w:rPr>
          <w:rFonts w:ascii="Verdana" w:hAnsi="Verdana"/>
        </w:rPr>
        <w:t xml:space="preserve">. Cumprir </w:t>
      </w:r>
      <w:r w:rsidR="009861E5">
        <w:rPr>
          <w:rFonts w:ascii="Verdana" w:hAnsi="Verdana"/>
        </w:rPr>
        <w:t>encargos e</w:t>
      </w:r>
      <w:r w:rsidRPr="00CD17C8">
        <w:rPr>
          <w:rFonts w:ascii="Verdana" w:hAnsi="Verdana"/>
        </w:rPr>
        <w:t xml:space="preserve"> desempenha</w:t>
      </w:r>
      <w:r w:rsidR="00721D37" w:rsidRPr="00CD17C8">
        <w:rPr>
          <w:rFonts w:ascii="Verdana" w:hAnsi="Verdana"/>
        </w:rPr>
        <w:t>r</w:t>
      </w:r>
      <w:r w:rsidRPr="00CD17C8">
        <w:rPr>
          <w:rFonts w:ascii="Verdana" w:hAnsi="Verdana"/>
        </w:rPr>
        <w:t xml:space="preserve"> atribuições confiadas a um administrador público </w:t>
      </w:r>
      <w:r w:rsidR="00721D37" w:rsidRPr="00CD17C8">
        <w:rPr>
          <w:rFonts w:ascii="Verdana" w:hAnsi="Verdana"/>
        </w:rPr>
        <w:t>é uma obrigação que não sendo fielmente cumprida, responde por eventuais omissões ou irregularidades.</w:t>
      </w:r>
    </w:p>
    <w:p w:rsidR="006E2D97" w:rsidRPr="00CD17C8" w:rsidRDefault="00F90C2C" w:rsidP="00CD17C8">
      <w:pPr>
        <w:ind w:firstLine="1134"/>
        <w:jc w:val="both"/>
        <w:rPr>
          <w:rFonts w:ascii="Verdana" w:hAnsi="Verdana"/>
        </w:rPr>
      </w:pPr>
      <w:r w:rsidRPr="00CD17C8">
        <w:rPr>
          <w:rFonts w:ascii="Verdana" w:hAnsi="Verdana"/>
        </w:rPr>
        <w:t>O presente Projeto de Lei busca estabelecer padrões de responsabilidade educacional para observância dos</w:t>
      </w:r>
      <w:r w:rsidR="006E2D97" w:rsidRPr="00CD17C8">
        <w:rPr>
          <w:rFonts w:ascii="Verdana" w:hAnsi="Verdana"/>
        </w:rPr>
        <w:t xml:space="preserve"> gestores públicos, trazendo um</w:t>
      </w:r>
      <w:r w:rsidRPr="00CD17C8">
        <w:rPr>
          <w:rFonts w:ascii="Verdana" w:hAnsi="Verdana"/>
        </w:rPr>
        <w:t xml:space="preserve"> </w:t>
      </w:r>
      <w:r w:rsidR="006E2D97" w:rsidRPr="00CD17C8">
        <w:rPr>
          <w:rFonts w:ascii="Verdana" w:hAnsi="Verdana"/>
        </w:rPr>
        <w:t>governo</w:t>
      </w:r>
      <w:r w:rsidRPr="00CD17C8">
        <w:rPr>
          <w:rFonts w:ascii="Verdana" w:hAnsi="Verdana"/>
        </w:rPr>
        <w:t xml:space="preserve"> mais eficiente e transparent</w:t>
      </w:r>
      <w:r w:rsidR="00416E69" w:rsidRPr="00CD17C8">
        <w:rPr>
          <w:rFonts w:ascii="Verdana" w:hAnsi="Verdana"/>
        </w:rPr>
        <w:t xml:space="preserve">e na educação pública municipal, </w:t>
      </w:r>
      <w:r w:rsidR="006E2D97" w:rsidRPr="00CD17C8">
        <w:rPr>
          <w:rFonts w:ascii="Verdana" w:hAnsi="Verdana"/>
        </w:rPr>
        <w:t xml:space="preserve">bem como, </w:t>
      </w:r>
      <w:r w:rsidR="00416E69" w:rsidRPr="00CD17C8">
        <w:rPr>
          <w:rFonts w:ascii="Verdana" w:hAnsi="Verdana"/>
        </w:rPr>
        <w:t>garantindo maiores meios de fiscalização</w:t>
      </w:r>
      <w:r w:rsidR="006E2D97" w:rsidRPr="00CD17C8">
        <w:rPr>
          <w:rFonts w:ascii="Verdana" w:hAnsi="Verdana"/>
        </w:rPr>
        <w:t>, e buscando o cumprimento do que determina a Constituição Federal em seu artigo 206, VII, que estabelece como um dos princípios do Ensino no País a “garantia de padrão de qualidade”.</w:t>
      </w:r>
    </w:p>
    <w:p w:rsidR="00F90C2C" w:rsidRPr="00CD17C8" w:rsidRDefault="00F90C2C" w:rsidP="00CD17C8">
      <w:pPr>
        <w:ind w:firstLine="1134"/>
        <w:jc w:val="both"/>
        <w:rPr>
          <w:rFonts w:ascii="Verdana" w:hAnsi="Verdana"/>
        </w:rPr>
      </w:pPr>
      <w:r w:rsidRPr="00CD17C8">
        <w:rPr>
          <w:rFonts w:ascii="Verdana" w:hAnsi="Verdana"/>
        </w:rPr>
        <w:t xml:space="preserve">Por meio de um relatório anual, com indicadores </w:t>
      </w:r>
      <w:r w:rsidR="00416E69" w:rsidRPr="00CD17C8">
        <w:rPr>
          <w:rFonts w:ascii="Verdana" w:hAnsi="Verdana"/>
        </w:rPr>
        <w:t xml:space="preserve">definidos através da presente propositura esta Casa de Leis poderá tomar as providências que se fizerem </w:t>
      </w:r>
      <w:r w:rsidR="00683284">
        <w:rPr>
          <w:rFonts w:ascii="Verdana" w:hAnsi="Verdana"/>
        </w:rPr>
        <w:t>necessárias</w:t>
      </w:r>
      <w:r w:rsidR="00416E69" w:rsidRPr="00CD17C8">
        <w:rPr>
          <w:rFonts w:ascii="Verdana" w:hAnsi="Verdana"/>
        </w:rPr>
        <w:t>, dentro da realidade do ensino do nosso município.</w:t>
      </w:r>
    </w:p>
    <w:p w:rsidR="0064447F" w:rsidRPr="00CD17C8" w:rsidRDefault="00CD17C8" w:rsidP="00CD17C8">
      <w:pPr>
        <w:ind w:firstLine="1134"/>
        <w:jc w:val="both"/>
        <w:rPr>
          <w:rFonts w:ascii="Verdana" w:hAnsi="Verdana"/>
        </w:rPr>
      </w:pPr>
      <w:r w:rsidRPr="00CD17C8">
        <w:rPr>
          <w:rFonts w:ascii="Verdana" w:hAnsi="Verdana"/>
        </w:rPr>
        <w:t>Diante do que aqui apresento, é notório o interesse público e social da proposta, pela qual solicito aos nobres pares desta Casa a aprovação do presente Projeto.</w:t>
      </w:r>
    </w:p>
    <w:p w:rsidR="00CD17C8" w:rsidRDefault="0064447F" w:rsidP="00CD17C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</w:t>
      </w:r>
    </w:p>
    <w:p w:rsidR="0064447F" w:rsidRPr="00CD17C8" w:rsidRDefault="0064447F" w:rsidP="00CD17C8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CD17C8">
        <w:rPr>
          <w:rFonts w:ascii="Verdana" w:hAnsi="Verdana"/>
        </w:rPr>
        <w:t>V</w:t>
      </w:r>
      <w:r w:rsidR="00EF7032" w:rsidRPr="00CD17C8">
        <w:rPr>
          <w:rFonts w:ascii="Verdana" w:hAnsi="Verdana"/>
        </w:rPr>
        <w:t xml:space="preserve">alinhos, </w:t>
      </w:r>
      <w:r w:rsidR="00E608D9">
        <w:rPr>
          <w:rFonts w:ascii="Verdana" w:hAnsi="Verdana"/>
        </w:rPr>
        <w:t>16</w:t>
      </w:r>
      <w:r w:rsidR="00CD17C8" w:rsidRPr="00CD17C8">
        <w:rPr>
          <w:rFonts w:ascii="Verdana" w:hAnsi="Verdana"/>
        </w:rPr>
        <w:t xml:space="preserve"> </w:t>
      </w:r>
      <w:r w:rsidR="00EF7032" w:rsidRPr="00CD17C8">
        <w:rPr>
          <w:rFonts w:ascii="Verdana" w:hAnsi="Verdana"/>
        </w:rPr>
        <w:t xml:space="preserve">de </w:t>
      </w:r>
      <w:r w:rsidR="00CD17C8" w:rsidRPr="00CD17C8">
        <w:rPr>
          <w:rFonts w:ascii="Verdana" w:hAnsi="Verdana"/>
        </w:rPr>
        <w:t>maio</w:t>
      </w:r>
      <w:r w:rsidR="00EF7032" w:rsidRPr="00CD17C8">
        <w:rPr>
          <w:rFonts w:ascii="Verdana" w:hAnsi="Verdana"/>
        </w:rPr>
        <w:t xml:space="preserve"> de 2019</w:t>
      </w:r>
      <w:r w:rsidRPr="00CD17C8">
        <w:rPr>
          <w:rFonts w:ascii="Verdana" w:hAnsi="Verdana"/>
        </w:rPr>
        <w:t>.</w:t>
      </w:r>
    </w:p>
    <w:p w:rsidR="00CD17C8" w:rsidRDefault="00CD17C8" w:rsidP="00CD17C8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64447F" w:rsidRPr="00CD17C8" w:rsidRDefault="006974B9" w:rsidP="00E608D9">
      <w:pPr>
        <w:spacing w:after="0"/>
        <w:jc w:val="center"/>
        <w:rPr>
          <w:rFonts w:ascii="Verdana" w:hAnsi="Verdana"/>
        </w:rPr>
      </w:pPr>
      <w:r w:rsidRPr="00CD17C8">
        <w:rPr>
          <w:rFonts w:ascii="Verdana" w:hAnsi="Verdana"/>
        </w:rPr>
        <w:t>__</w:t>
      </w:r>
      <w:r w:rsidR="0064447F" w:rsidRPr="00CD17C8">
        <w:rPr>
          <w:rFonts w:ascii="Verdana" w:hAnsi="Verdana"/>
        </w:rPr>
        <w:t>_________________</w:t>
      </w:r>
    </w:p>
    <w:p w:rsidR="0064447F" w:rsidRPr="00CD17C8" w:rsidRDefault="0064447F" w:rsidP="006974B9">
      <w:pPr>
        <w:spacing w:after="0" w:line="240" w:lineRule="auto"/>
        <w:jc w:val="center"/>
        <w:rPr>
          <w:rFonts w:ascii="Verdana" w:hAnsi="Verdana"/>
          <w:b/>
        </w:rPr>
      </w:pPr>
      <w:r w:rsidRPr="00CD17C8">
        <w:rPr>
          <w:rFonts w:ascii="Verdana" w:hAnsi="Verdana"/>
          <w:b/>
        </w:rPr>
        <w:t>Mônica Morandi</w:t>
      </w:r>
    </w:p>
    <w:p w:rsidR="005C4F8C" w:rsidRPr="00CD17C8" w:rsidRDefault="00CD17C8" w:rsidP="00CD17C8">
      <w:pPr>
        <w:jc w:val="center"/>
        <w:rPr>
          <w:rFonts w:ascii="Verdana" w:hAnsi="Verdana"/>
          <w:b/>
        </w:rPr>
      </w:pPr>
      <w:r w:rsidRPr="00CD17C8">
        <w:rPr>
          <w:rFonts w:ascii="Verdana" w:hAnsi="Verdana"/>
          <w:b/>
        </w:rPr>
        <w:t>Vereadora</w:t>
      </w: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762C88" w:rsidRDefault="00762C88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3D4870">
      <w:pPr>
        <w:spacing w:after="0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PROJETO DE LEI Nº</w:t>
      </w:r>
      <w:r w:rsidR="00762C88">
        <w:rPr>
          <w:rFonts w:ascii="Verdana" w:hAnsi="Verdana"/>
          <w:b/>
          <w:sz w:val="24"/>
          <w:szCs w:val="24"/>
        </w:rPr>
        <w:t xml:space="preserve">         </w:t>
      </w:r>
      <w:r w:rsidR="00EF7032">
        <w:rPr>
          <w:rFonts w:ascii="Verdana" w:hAnsi="Verdana"/>
          <w:b/>
          <w:sz w:val="24"/>
          <w:szCs w:val="24"/>
        </w:rPr>
        <w:t>/2019.</w:t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3D4870" w:rsidRDefault="003D4870" w:rsidP="003D4870">
      <w:pPr>
        <w:spacing w:after="0"/>
        <w:ind w:left="4536" w:right="284"/>
        <w:jc w:val="both"/>
        <w:rPr>
          <w:rFonts w:ascii="Verdana" w:hAnsi="Verdana"/>
          <w:b/>
          <w:sz w:val="24"/>
          <w:szCs w:val="24"/>
        </w:rPr>
      </w:pPr>
    </w:p>
    <w:p w:rsidR="005C4F8C" w:rsidRDefault="00C04E4C" w:rsidP="003D4870">
      <w:pPr>
        <w:spacing w:after="0"/>
        <w:ind w:left="4536" w:right="28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Institui a Lei de Responsabilidade Educacional no âmbito do município de Valinhos, na forma que especifica.</w:t>
      </w:r>
    </w:p>
    <w:p w:rsidR="00C04E4C" w:rsidRDefault="00C04E4C" w:rsidP="003D4870">
      <w:pPr>
        <w:spacing w:after="0"/>
        <w:ind w:left="4536" w:right="284"/>
        <w:jc w:val="both"/>
        <w:rPr>
          <w:rFonts w:ascii="Verdana" w:hAnsi="Verdana"/>
          <w:b/>
          <w:sz w:val="24"/>
          <w:szCs w:val="24"/>
        </w:rPr>
      </w:pPr>
    </w:p>
    <w:p w:rsidR="00A134F1" w:rsidRDefault="00A134F1" w:rsidP="003D4870">
      <w:pPr>
        <w:spacing w:after="0"/>
        <w:ind w:left="4536" w:right="284"/>
        <w:jc w:val="both"/>
        <w:rPr>
          <w:rFonts w:ascii="Verdana" w:hAnsi="Verdana"/>
          <w:b/>
          <w:sz w:val="24"/>
          <w:szCs w:val="24"/>
        </w:rPr>
      </w:pPr>
    </w:p>
    <w:p w:rsidR="005C4F8C" w:rsidRDefault="005C4F8C" w:rsidP="003D4870">
      <w:pPr>
        <w:spacing w:after="0"/>
        <w:ind w:left="-284" w:right="-285" w:firstLine="2835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JUNIOR,</w:t>
      </w:r>
      <w:r>
        <w:rPr>
          <w:rFonts w:ascii="Verdana" w:hAnsi="Verdana"/>
          <w:b/>
          <w:sz w:val="24"/>
          <w:szCs w:val="24"/>
        </w:rPr>
        <w:t xml:space="preserve"> </w:t>
      </w:r>
      <w:r w:rsidRPr="005C4F8C">
        <w:rPr>
          <w:rFonts w:ascii="Verdana" w:hAnsi="Verdana"/>
          <w:sz w:val="24"/>
          <w:szCs w:val="24"/>
        </w:rPr>
        <w:t>Prefei</w:t>
      </w:r>
      <w:r w:rsidR="00C04E4C">
        <w:rPr>
          <w:rFonts w:ascii="Verdana" w:hAnsi="Verdana"/>
          <w:sz w:val="24"/>
          <w:szCs w:val="24"/>
        </w:rPr>
        <w:t xml:space="preserve">to do Município </w:t>
      </w:r>
      <w:r>
        <w:rPr>
          <w:rFonts w:ascii="Verdana" w:hAnsi="Verdana"/>
          <w:sz w:val="24"/>
          <w:szCs w:val="24"/>
        </w:rPr>
        <w:t>de Valinhos</w:t>
      </w:r>
      <w:r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5C4F8C" w:rsidRPr="005C4F8C" w:rsidRDefault="005C4F8C" w:rsidP="003D4870">
      <w:pPr>
        <w:spacing w:after="0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5C4F8C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762C88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 xml:space="preserve">Artigo </w:t>
      </w:r>
      <w:r w:rsidR="005C4F8C" w:rsidRPr="005C4F8C">
        <w:rPr>
          <w:rFonts w:ascii="Verdana" w:hAnsi="Verdana"/>
          <w:b/>
          <w:sz w:val="24"/>
          <w:szCs w:val="24"/>
        </w:rPr>
        <w:t xml:space="preserve">1º - </w:t>
      </w:r>
      <w:r w:rsidR="00C04E4C">
        <w:rPr>
          <w:rFonts w:ascii="Verdana" w:hAnsi="Verdana"/>
          <w:sz w:val="24"/>
          <w:szCs w:val="24"/>
        </w:rPr>
        <w:t>Fica instituída a divulgação, contendo os indicadores educacionais da Rede Municipal de Educação da cidade de Valinhos, em até cento e vinte dias após o término de cada ano letivo.</w:t>
      </w:r>
    </w:p>
    <w:p w:rsidR="003D4870" w:rsidRDefault="003D4870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C04E4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Parágrafo</w:t>
      </w:r>
      <w:r w:rsidR="00C04E4C" w:rsidRPr="00C04E4C">
        <w:rPr>
          <w:rFonts w:ascii="Verdana" w:hAnsi="Verdana"/>
          <w:b/>
          <w:sz w:val="24"/>
          <w:szCs w:val="24"/>
        </w:rPr>
        <w:t xml:space="preserve"> Único</w:t>
      </w:r>
      <w:r w:rsidR="00C04E4C">
        <w:rPr>
          <w:rFonts w:ascii="Verdana" w:hAnsi="Verdana"/>
          <w:sz w:val="24"/>
          <w:szCs w:val="24"/>
        </w:rPr>
        <w:t xml:space="preserve"> – A divulgação deve ser feita de maneira </w:t>
      </w:r>
      <w:r>
        <w:rPr>
          <w:rFonts w:ascii="Verdana" w:hAnsi="Verdana"/>
          <w:sz w:val="24"/>
          <w:szCs w:val="24"/>
        </w:rPr>
        <w:t>acessível a qualquer cidadão.</w:t>
      </w:r>
    </w:p>
    <w:p w:rsidR="005C4F8C" w:rsidRPr="005C4F8C" w:rsidRDefault="005C4F8C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762C88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Artigo</w:t>
      </w:r>
      <w:r w:rsidR="005C4F8C">
        <w:rPr>
          <w:rFonts w:ascii="Verdana" w:hAnsi="Verdana"/>
          <w:b/>
          <w:sz w:val="24"/>
          <w:szCs w:val="24"/>
        </w:rPr>
        <w:t xml:space="preserve"> 2</w:t>
      </w:r>
      <w:r w:rsidR="005C4F8C" w:rsidRPr="005C4F8C">
        <w:rPr>
          <w:rFonts w:ascii="Verdana" w:hAnsi="Verdana"/>
          <w:b/>
          <w:sz w:val="24"/>
          <w:szCs w:val="24"/>
        </w:rPr>
        <w:t>º -</w:t>
      </w:r>
      <w:r w:rsidR="005C4F8C" w:rsidRPr="005C4F8C">
        <w:rPr>
          <w:rFonts w:ascii="Verdana" w:hAnsi="Verdana"/>
          <w:sz w:val="24"/>
          <w:szCs w:val="24"/>
        </w:rPr>
        <w:t xml:space="preserve"> </w:t>
      </w:r>
      <w:r w:rsidR="002640EC">
        <w:rPr>
          <w:rFonts w:ascii="Verdana" w:hAnsi="Verdana"/>
          <w:sz w:val="24"/>
          <w:szCs w:val="24"/>
        </w:rPr>
        <w:t xml:space="preserve">Os indicadores educacionais a que se refere o artigo 1º desta Lei a serem utilizados como parâmetros são: </w:t>
      </w:r>
    </w:p>
    <w:p w:rsidR="003D4870" w:rsidRPr="0064447F" w:rsidRDefault="003D4870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3D4870" w:rsidRDefault="00762C88" w:rsidP="003D4870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2640EC">
        <w:rPr>
          <w:rFonts w:ascii="Verdana" w:hAnsi="Verdana"/>
          <w:b/>
          <w:sz w:val="24"/>
          <w:szCs w:val="24"/>
        </w:rPr>
        <w:t>I</w:t>
      </w:r>
      <w:r w:rsidR="002640EC">
        <w:rPr>
          <w:rFonts w:ascii="Verdana" w:hAnsi="Verdana"/>
          <w:sz w:val="24"/>
          <w:szCs w:val="24"/>
        </w:rPr>
        <w:t xml:space="preserve"> – Alfabetização:</w:t>
      </w: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– taxa de analfabetismo da população com respectivas faixas etárias;</w:t>
      </w: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 </w:t>
      </w:r>
      <w:r>
        <w:rPr>
          <w:rFonts w:ascii="Verdana" w:hAnsi="Verdana"/>
          <w:sz w:val="24"/>
          <w:szCs w:val="24"/>
        </w:rPr>
        <w:t>– resultados de avaliações, provas e testes externos e internos aplicados aos estudantes da Rede Municipal de Educação;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3D4870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</w:t>
      </w:r>
      <w:r>
        <w:rPr>
          <w:rFonts w:ascii="Verdana" w:hAnsi="Verdana"/>
          <w:sz w:val="24"/>
          <w:szCs w:val="24"/>
        </w:rPr>
        <w:t>– Matrícula e evasão escolar:</w:t>
      </w: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– número de alunos matriculados;</w:t>
      </w: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 </w:t>
      </w:r>
      <w:r>
        <w:rPr>
          <w:rFonts w:ascii="Verdana" w:hAnsi="Verdana"/>
          <w:sz w:val="24"/>
          <w:szCs w:val="24"/>
        </w:rPr>
        <w:t>– índice detalhado de evasão na Rede Municipal de Educação;</w:t>
      </w: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c </w:t>
      </w:r>
      <w:r>
        <w:rPr>
          <w:rFonts w:ascii="Verdana" w:hAnsi="Verdana"/>
          <w:sz w:val="24"/>
          <w:szCs w:val="24"/>
        </w:rPr>
        <w:t>– número de vagas ociosas, por nível de escolaridade;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III </w:t>
      </w:r>
      <w:r>
        <w:rPr>
          <w:rFonts w:ascii="Verdana" w:hAnsi="Verdana"/>
          <w:sz w:val="24"/>
          <w:szCs w:val="24"/>
        </w:rPr>
        <w:t>– Taxa de distorção idade/ano;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3D4870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IV </w:t>
      </w:r>
      <w:r>
        <w:rPr>
          <w:rFonts w:ascii="Verdana" w:hAnsi="Verdana"/>
          <w:sz w:val="24"/>
          <w:szCs w:val="24"/>
        </w:rPr>
        <w:t>– Docentes;</w:t>
      </w: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– número total de professores;</w:t>
      </w:r>
    </w:p>
    <w:p w:rsidR="002640EC" w:rsidRDefault="002640EC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 </w:t>
      </w:r>
      <w:r>
        <w:rPr>
          <w:rFonts w:ascii="Verdana" w:hAnsi="Verdana"/>
          <w:sz w:val="24"/>
          <w:szCs w:val="24"/>
        </w:rPr>
        <w:t>– professores com pós-graduação “Lato Sensu”, em percentual;</w:t>
      </w:r>
    </w:p>
    <w:p w:rsidR="002640EC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 </w:t>
      </w:r>
      <w:r>
        <w:rPr>
          <w:rFonts w:ascii="Verdana" w:hAnsi="Verdana"/>
          <w:sz w:val="24"/>
          <w:szCs w:val="24"/>
        </w:rPr>
        <w:t>– professores com mestrado, em percentual;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 </w:t>
      </w:r>
      <w:r>
        <w:rPr>
          <w:rFonts w:ascii="Verdana" w:hAnsi="Verdana"/>
          <w:sz w:val="24"/>
          <w:szCs w:val="24"/>
        </w:rPr>
        <w:t>– professores com doutorado, em percentual;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>– remuneração média, piso e teto salarial dos professores por nível de ensino;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 </w:t>
      </w:r>
      <w:r>
        <w:rPr>
          <w:rFonts w:ascii="Verdana" w:hAnsi="Verdana"/>
          <w:sz w:val="24"/>
          <w:szCs w:val="24"/>
        </w:rPr>
        <w:t>– professores e demais servidores em cargos comissionados;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 </w:t>
      </w:r>
      <w:r>
        <w:rPr>
          <w:rFonts w:ascii="Verdana" w:hAnsi="Verdana"/>
          <w:sz w:val="24"/>
          <w:szCs w:val="24"/>
        </w:rPr>
        <w:t>– Programas: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– relacionar os programas de valorização e capacitação docente desenvolvidos para os professores da rede pública municipal;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 </w:t>
      </w:r>
      <w:r>
        <w:rPr>
          <w:rFonts w:ascii="Verdana" w:hAnsi="Verdana"/>
          <w:sz w:val="24"/>
          <w:szCs w:val="24"/>
        </w:rPr>
        <w:t>– informar as capacitações específicas no que tange a inclusão social, o número de professores atuando em cada unidade de ensino e o número de crianças com deficiência em cada sala de aula;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 </w:t>
      </w:r>
      <w:r>
        <w:rPr>
          <w:rFonts w:ascii="Verdana" w:hAnsi="Verdana"/>
          <w:sz w:val="24"/>
          <w:szCs w:val="24"/>
        </w:rPr>
        <w:t>– relacionar as verbas aplicadas na educação em geral, e em c</w:t>
      </w:r>
      <w:r w:rsidR="00A3124E">
        <w:rPr>
          <w:rFonts w:ascii="Verdana" w:hAnsi="Verdana"/>
          <w:sz w:val="24"/>
          <w:szCs w:val="24"/>
        </w:rPr>
        <w:t>ada programa, inclusive com a di</w:t>
      </w:r>
      <w:r>
        <w:rPr>
          <w:rFonts w:ascii="Verdana" w:hAnsi="Verdana"/>
          <w:sz w:val="24"/>
          <w:szCs w:val="24"/>
        </w:rPr>
        <w:t>scriminação das verbas em publicidade;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 </w:t>
      </w:r>
      <w:r>
        <w:rPr>
          <w:rFonts w:ascii="Verdana" w:hAnsi="Verdana"/>
          <w:sz w:val="24"/>
          <w:szCs w:val="24"/>
        </w:rPr>
        <w:t>– relacionar as verbas aplicadas no ensino municipal advindas do FUNDEB – Fundo de Desenvolvimento da Educação Básica e de Valorização do Magistério;</w:t>
      </w:r>
    </w:p>
    <w:p w:rsidR="005C7170" w:rsidRDefault="005C71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– relacionar os programas </w:t>
      </w:r>
      <w:r w:rsidR="00987422">
        <w:rPr>
          <w:rFonts w:ascii="Verdana" w:hAnsi="Verdana"/>
          <w:sz w:val="24"/>
          <w:szCs w:val="24"/>
        </w:rPr>
        <w:t>realizados em parceria com as iniciativas pública e privada e os valores em cada um;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 </w:t>
      </w:r>
      <w:r>
        <w:rPr>
          <w:rFonts w:ascii="Verdana" w:hAnsi="Verdana"/>
          <w:sz w:val="24"/>
          <w:szCs w:val="24"/>
        </w:rPr>
        <w:t>– Rendimento escolar: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– índice de aprovação/reprovação em razão do rendimento escolar;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 </w:t>
      </w:r>
      <w:r>
        <w:rPr>
          <w:rFonts w:ascii="Verdana" w:hAnsi="Verdana"/>
          <w:sz w:val="24"/>
          <w:szCs w:val="24"/>
        </w:rPr>
        <w:t>– índice de reprovação por faltas às atividades escolares;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 xml:space="preserve"> – índice de resultados de inclusão com alunos com deficiência;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VII </w:t>
      </w:r>
      <w:r>
        <w:rPr>
          <w:rFonts w:ascii="Verdana" w:hAnsi="Verdana"/>
          <w:sz w:val="24"/>
          <w:szCs w:val="24"/>
        </w:rPr>
        <w:t>– Infraestrutura: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a </w:t>
      </w:r>
      <w:r>
        <w:rPr>
          <w:rFonts w:ascii="Verdana" w:hAnsi="Verdana"/>
          <w:sz w:val="24"/>
          <w:szCs w:val="24"/>
        </w:rPr>
        <w:t>– relacionar o número total de unidades escolares da Rede Pública de Ensino de Valinhos;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 </w:t>
      </w:r>
      <w:r>
        <w:rPr>
          <w:rFonts w:ascii="Verdana" w:hAnsi="Verdana"/>
          <w:sz w:val="24"/>
          <w:szCs w:val="24"/>
        </w:rPr>
        <w:t>– relacionar o total de unidades com necessidade de recuperação estrutural de acordo com os padrões básicos construtivos;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 </w:t>
      </w:r>
      <w:r>
        <w:rPr>
          <w:rFonts w:ascii="Verdana" w:hAnsi="Verdana"/>
          <w:sz w:val="24"/>
          <w:szCs w:val="24"/>
        </w:rPr>
        <w:t>– relacionar as unidades com laboratório de informática;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 </w:t>
      </w:r>
      <w:r>
        <w:rPr>
          <w:rFonts w:ascii="Verdana" w:hAnsi="Verdana"/>
          <w:sz w:val="24"/>
          <w:szCs w:val="24"/>
        </w:rPr>
        <w:t>– relacionar as unidades com biblioteca;</w:t>
      </w:r>
    </w:p>
    <w:p w:rsidR="00987422" w:rsidRDefault="00987422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>– relacionar as unidades com quadras poliesportivas, discrimina</w:t>
      </w:r>
      <w:r w:rsidR="00F51E50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do </w:t>
      </w:r>
      <w:r w:rsidR="00F51E50">
        <w:rPr>
          <w:rFonts w:ascii="Verdana" w:hAnsi="Verdana"/>
          <w:sz w:val="24"/>
          <w:szCs w:val="24"/>
        </w:rPr>
        <w:t xml:space="preserve">as </w:t>
      </w:r>
      <w:r w:rsidR="00A9719B">
        <w:rPr>
          <w:rFonts w:ascii="Verdana" w:hAnsi="Verdana"/>
          <w:sz w:val="24"/>
          <w:szCs w:val="24"/>
        </w:rPr>
        <w:t>que possuem cobertura</w:t>
      </w:r>
      <w:r w:rsidR="005825A3">
        <w:rPr>
          <w:rFonts w:ascii="Verdana" w:hAnsi="Verdana"/>
          <w:sz w:val="24"/>
          <w:szCs w:val="24"/>
        </w:rPr>
        <w:t>;</w:t>
      </w:r>
    </w:p>
    <w:p w:rsidR="005825A3" w:rsidRDefault="005825A3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 </w:t>
      </w:r>
      <w:r w:rsidRPr="005825A3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 relacionar as unidades com laboratório de ciências;</w:t>
      </w:r>
    </w:p>
    <w:p w:rsidR="005825A3" w:rsidRDefault="005825A3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 - </w:t>
      </w:r>
      <w:r>
        <w:rPr>
          <w:rFonts w:ascii="Verdana" w:hAnsi="Verdana"/>
          <w:sz w:val="24"/>
          <w:szCs w:val="24"/>
        </w:rPr>
        <w:t>relacionar atividades extracurriculares regulares;</w:t>
      </w:r>
    </w:p>
    <w:p w:rsidR="005825A3" w:rsidRDefault="005825A3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 –</w:t>
      </w:r>
      <w:r>
        <w:rPr>
          <w:rFonts w:ascii="Verdana" w:hAnsi="Verdana"/>
          <w:sz w:val="24"/>
          <w:szCs w:val="24"/>
        </w:rPr>
        <w:t xml:space="preserve"> relacionar o total de unidades adaptadas em suas instalações físicas com acessibilidade, quais os tipos de equipamentos e obras implementadas e executadas para atendimento aos alunos com deficiência.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5825A3" w:rsidRDefault="005825A3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Artigo 3º -</w:t>
      </w:r>
      <w:r>
        <w:rPr>
          <w:rFonts w:ascii="Verdana" w:hAnsi="Verdana"/>
          <w:sz w:val="24"/>
          <w:szCs w:val="24"/>
        </w:rPr>
        <w:t xml:space="preserve"> Anualmente, a Lei que aprovar as diretrizes orçamentárias, deverá conter anexos com diagnósticos e metas relativos </w:t>
      </w:r>
      <w:r w:rsidR="00E608D9">
        <w:rPr>
          <w:rFonts w:ascii="Verdana" w:hAnsi="Verdana"/>
          <w:sz w:val="24"/>
          <w:szCs w:val="24"/>
        </w:rPr>
        <w:t>à</w:t>
      </w:r>
      <w:r>
        <w:rPr>
          <w:rFonts w:ascii="Verdana" w:hAnsi="Verdana"/>
          <w:sz w:val="24"/>
          <w:szCs w:val="24"/>
        </w:rPr>
        <w:t xml:space="preserve"> educação, sempre atualizados para os próximos quatro anos, utilizando-se como parâmetros a realidade e os indicadores descritos na presente Lei.</w:t>
      </w:r>
    </w:p>
    <w:p w:rsidR="003D4870" w:rsidRDefault="003D4870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E608D9" w:rsidRDefault="00E608D9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Artigo 4º -</w:t>
      </w:r>
      <w:r>
        <w:rPr>
          <w:rFonts w:ascii="Verdana" w:hAnsi="Verdana"/>
          <w:sz w:val="24"/>
          <w:szCs w:val="24"/>
        </w:rPr>
        <w:t xml:space="preserve"> O Conselho Municipal de Educação encaminhará à Mesa Diretora da Câmara Municipal de Valinhos, relatório anual de suas atividades.</w:t>
      </w:r>
    </w:p>
    <w:p w:rsidR="00E608D9" w:rsidRDefault="00E608D9" w:rsidP="00E608D9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Artigo 5º -</w:t>
      </w:r>
      <w:r>
        <w:rPr>
          <w:rFonts w:ascii="Verdana" w:hAnsi="Verdana"/>
          <w:sz w:val="24"/>
          <w:szCs w:val="24"/>
        </w:rPr>
        <w:t xml:space="preserve"> Esta Lei entra em vigor na data de sua publicação.</w:t>
      </w:r>
    </w:p>
    <w:p w:rsidR="00E608D9" w:rsidRPr="005C4F8C" w:rsidRDefault="00E608D9" w:rsidP="003D4870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3D4870" w:rsidRDefault="003D4870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3D4870" w:rsidRPr="005C4F8C" w:rsidRDefault="003D4870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64447F" w:rsidP="006974B9">
      <w:pPr>
        <w:spacing w:line="240" w:lineRule="auto"/>
        <w:ind w:left="2694" w:right="-285" w:hanging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6974B9" w:rsidP="006974B9">
      <w:pPr>
        <w:tabs>
          <w:tab w:val="left" w:pos="2835"/>
        </w:tabs>
        <w:spacing w:line="24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825A3" w:rsidRDefault="005C4F8C" w:rsidP="005825A3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825A3" w:rsidRDefault="005C4F8C" w:rsidP="005825A3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>Prefeito Municipal</w:t>
      </w:r>
    </w:p>
    <w:sectPr w:rsidR="005C4F8C" w:rsidRPr="005825A3" w:rsidSect="00410750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011"/>
    <w:rsid w:val="000F3625"/>
    <w:rsid w:val="0021344A"/>
    <w:rsid w:val="0022738B"/>
    <w:rsid w:val="002640EC"/>
    <w:rsid w:val="003D4870"/>
    <w:rsid w:val="00410750"/>
    <w:rsid w:val="00416E69"/>
    <w:rsid w:val="004A55F8"/>
    <w:rsid w:val="005825A3"/>
    <w:rsid w:val="005C4F8C"/>
    <w:rsid w:val="005C7170"/>
    <w:rsid w:val="005E0E60"/>
    <w:rsid w:val="0064447F"/>
    <w:rsid w:val="00683284"/>
    <w:rsid w:val="006974B9"/>
    <w:rsid w:val="006E2D97"/>
    <w:rsid w:val="00721D37"/>
    <w:rsid w:val="00731B08"/>
    <w:rsid w:val="00762C88"/>
    <w:rsid w:val="007D178F"/>
    <w:rsid w:val="00940DAC"/>
    <w:rsid w:val="009861E5"/>
    <w:rsid w:val="00987422"/>
    <w:rsid w:val="009A3539"/>
    <w:rsid w:val="00A10011"/>
    <w:rsid w:val="00A134F1"/>
    <w:rsid w:val="00A206AF"/>
    <w:rsid w:val="00A3124E"/>
    <w:rsid w:val="00A9719B"/>
    <w:rsid w:val="00AD24EE"/>
    <w:rsid w:val="00C04E4C"/>
    <w:rsid w:val="00C673BA"/>
    <w:rsid w:val="00CD17C8"/>
    <w:rsid w:val="00DE76F6"/>
    <w:rsid w:val="00E608D9"/>
    <w:rsid w:val="00EA7744"/>
    <w:rsid w:val="00EF7032"/>
    <w:rsid w:val="00F51E50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9754-2334-429A-999D-CE0A8D55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16</cp:revision>
  <cp:lastPrinted>2019-05-09T14:52:00Z</cp:lastPrinted>
  <dcterms:created xsi:type="dcterms:W3CDTF">2019-05-08T19:27:00Z</dcterms:created>
  <dcterms:modified xsi:type="dcterms:W3CDTF">2019-05-16T14:04:00Z</dcterms:modified>
</cp:coreProperties>
</file>