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1B" w:rsidRDefault="0046461B">
      <w:pPr>
        <w:rPr>
          <w:rFonts w:hint="eastAsia"/>
        </w:rPr>
      </w:pPr>
      <w:bookmarkStart w:id="0" w:name="_GoBack"/>
      <w:bookmarkEnd w:id="0"/>
    </w:p>
    <w:p w:rsidR="0046461B" w:rsidRDefault="0046461B">
      <w:pPr>
        <w:rPr>
          <w:rFonts w:hint="eastAsia"/>
        </w:rPr>
      </w:pPr>
    </w:p>
    <w:p w:rsidR="0046461B" w:rsidRDefault="0046461B">
      <w:pPr>
        <w:rPr>
          <w:rFonts w:hint="eastAsia"/>
        </w:rPr>
      </w:pPr>
    </w:p>
    <w:p w:rsidR="0046461B" w:rsidRDefault="0046461B">
      <w:pPr>
        <w:rPr>
          <w:rFonts w:hint="eastAsia"/>
        </w:rPr>
      </w:pPr>
    </w:p>
    <w:p w:rsidR="0046461B" w:rsidRDefault="0046461B">
      <w:pPr>
        <w:rPr>
          <w:rFonts w:ascii="Linux Libertine Display G" w:hAnsi="Linux Libertine Display G" w:hint="eastAsia"/>
        </w:rPr>
      </w:pPr>
    </w:p>
    <w:p w:rsidR="0046461B" w:rsidRDefault="0046461B">
      <w:pPr>
        <w:rPr>
          <w:rFonts w:ascii="Linux Libertine Display G" w:hAnsi="Linux Libertine Display G" w:hint="eastAsia"/>
        </w:rPr>
      </w:pPr>
    </w:p>
    <w:p w:rsidR="0046461B" w:rsidRDefault="005D14EF">
      <w:pPr>
        <w:rPr>
          <w:rFonts w:ascii="Linux Libertine Display G" w:hAnsi="Linux Libertine Display G" w:hint="eastAsia"/>
        </w:rPr>
      </w:pPr>
      <w:r>
        <w:rPr>
          <w:rFonts w:hint="eastAsia"/>
        </w:rPr>
        <w:t>PROJETO DE LEI N.</w:t>
      </w:r>
      <w:r>
        <w:rPr>
          <w:rFonts w:hint="eastAsia"/>
        </w:rPr>
        <w:t>º</w:t>
      </w:r>
      <w:r>
        <w:rPr>
          <w:rFonts w:hint="eastAsia"/>
        </w:rPr>
        <w:t xml:space="preserve"> </w:t>
      </w:r>
      <w:r w:rsidRPr="005D14EF">
        <w:rPr>
          <w:rFonts w:hint="eastAsia"/>
        </w:rPr>
        <w:t>120</w:t>
      </w:r>
      <w:r>
        <w:rPr>
          <w:rFonts w:hint="eastAsia"/>
        </w:rPr>
        <w:t>/</w:t>
      </w:r>
      <w:r w:rsidRPr="005D14EF">
        <w:rPr>
          <w:rFonts w:hint="eastAsia"/>
        </w:rPr>
        <w:t>2017</w:t>
      </w:r>
    </w:p>
    <w:p w:rsidR="0046461B" w:rsidRDefault="0046461B">
      <w:pPr>
        <w:rPr>
          <w:rFonts w:hint="eastAsia"/>
        </w:rPr>
      </w:pPr>
    </w:p>
    <w:p w:rsidR="0046461B" w:rsidRDefault="0046461B">
      <w:pPr>
        <w:rPr>
          <w:rFonts w:hint="eastAsia"/>
        </w:rPr>
      </w:pPr>
    </w:p>
    <w:p w:rsidR="0046461B" w:rsidRDefault="0046461B">
      <w:pPr>
        <w:rPr>
          <w:rFonts w:hint="eastAsia"/>
        </w:rPr>
      </w:pPr>
    </w:p>
    <w:p w:rsidR="0046461B" w:rsidRDefault="005D14EF">
      <w:pPr>
        <w:rPr>
          <w:rFonts w:ascii="Linux Libertine Display G" w:hAnsi="Linux Libertine Display G" w:hint="eastAsia"/>
        </w:rPr>
      </w:pPr>
      <w:r>
        <w:t>Exmo. Senhor Presidente</w:t>
      </w:r>
    </w:p>
    <w:p w:rsidR="0046461B" w:rsidRDefault="005D14EF">
      <w:pPr>
        <w:rPr>
          <w:rFonts w:ascii="Linux Libertine Display G" w:hAnsi="Linux Libertine Display G" w:hint="eastAsia"/>
        </w:rPr>
      </w:pPr>
      <w:r>
        <w:t>Nobres vereadores</w:t>
      </w:r>
    </w:p>
    <w:p w:rsidR="0046461B" w:rsidRDefault="0046461B">
      <w:pPr>
        <w:rPr>
          <w:rFonts w:hint="eastAsia"/>
        </w:rPr>
      </w:pPr>
    </w:p>
    <w:p w:rsidR="0046461B" w:rsidRDefault="0046461B">
      <w:pPr>
        <w:rPr>
          <w:rFonts w:hint="eastAsia"/>
        </w:rPr>
      </w:pPr>
    </w:p>
    <w:p w:rsidR="0046461B" w:rsidRDefault="005D14EF">
      <w:pPr>
        <w:ind w:firstLine="2268"/>
        <w:jc w:val="both"/>
        <w:rPr>
          <w:rFonts w:hint="eastAsia"/>
        </w:rPr>
      </w:pPr>
      <w:r>
        <w:t xml:space="preserve">O vereador Gilberto Aparecido Borges – GIBA – apresenta aos demais vereadores desta Casa de Leis, para a devida apreciação e aprovação, o incluso projeto de lei que </w:t>
      </w:r>
      <w:r>
        <w:rPr>
          <w:b/>
          <w:bCs/>
          <w:color w:val="333333"/>
        </w:rPr>
        <w:t>“OBRIGA AS FARMÁCIAS INSTALADAS NO MUNICÍPIO DE VALINHOS - SP A DISPONIBILIZAREM RECIPIENTE</w:t>
      </w:r>
      <w:r>
        <w:rPr>
          <w:b/>
          <w:bCs/>
          <w:color w:val="333333"/>
        </w:rPr>
        <w:t>S PARA RECOLHIMENTO DE MEDICAMENTOS VENCIDOS, DANDO-LHES O DEVIDO ENCAMINHAMENTO, NOS TERMOS DA RESOLUÇÃO 306 DA ANVISA.”</w:t>
      </w:r>
    </w:p>
    <w:p w:rsidR="0046461B" w:rsidRDefault="0046461B">
      <w:pPr>
        <w:ind w:firstLine="2268"/>
        <w:jc w:val="both"/>
        <w:rPr>
          <w:rFonts w:hint="eastAsia"/>
          <w:b/>
          <w:bCs/>
          <w:sz w:val="26"/>
          <w:szCs w:val="26"/>
        </w:rPr>
      </w:pPr>
    </w:p>
    <w:p w:rsidR="0046461B" w:rsidRDefault="0046461B">
      <w:pPr>
        <w:ind w:firstLine="2324"/>
        <w:jc w:val="both"/>
        <w:rPr>
          <w:rFonts w:hint="eastAsia"/>
          <w:b/>
          <w:bCs/>
          <w:sz w:val="26"/>
          <w:szCs w:val="26"/>
        </w:rPr>
      </w:pPr>
    </w:p>
    <w:p w:rsidR="0046461B" w:rsidRDefault="005D14EF">
      <w:pPr>
        <w:tabs>
          <w:tab w:val="left" w:pos="2264"/>
        </w:tabs>
        <w:jc w:val="both"/>
        <w:rPr>
          <w:rFonts w:hint="eastAsia"/>
        </w:rPr>
      </w:pPr>
      <w:r>
        <w:rPr>
          <w:b/>
          <w:bCs/>
          <w:sz w:val="26"/>
          <w:szCs w:val="26"/>
        </w:rPr>
        <w:tab/>
        <w:t>Justificativa</w:t>
      </w:r>
    </w:p>
    <w:p w:rsidR="0046461B" w:rsidRDefault="0046461B">
      <w:pPr>
        <w:ind w:firstLine="2268"/>
        <w:rPr>
          <w:rFonts w:hint="eastAsia"/>
          <w:b/>
          <w:bCs/>
          <w:sz w:val="26"/>
          <w:szCs w:val="26"/>
        </w:rPr>
      </w:pPr>
    </w:p>
    <w:p w:rsidR="0046461B" w:rsidRDefault="005D14EF">
      <w:pPr>
        <w:tabs>
          <w:tab w:val="left" w:pos="2318"/>
        </w:tabs>
        <w:jc w:val="both"/>
        <w:rPr>
          <w:rFonts w:hint="eastAsia"/>
        </w:rPr>
      </w:pPr>
      <w:r>
        <w:rPr>
          <w:color w:val="333333"/>
          <w:sz w:val="26"/>
          <w:szCs w:val="26"/>
        </w:rPr>
        <w:tab/>
        <w:t>O</w:t>
      </w:r>
      <w:r>
        <w:rPr>
          <w:color w:val="000000"/>
          <w:highlight w:val="white"/>
        </w:rPr>
        <w:t xml:space="preserve"> Brasil é o sétimo maior consumidor de medicamentos do mundo, e apesar disso possui pouca legislação sobre o seu d</w:t>
      </w:r>
      <w:r>
        <w:rPr>
          <w:color w:val="000000"/>
          <w:highlight w:val="white"/>
        </w:rPr>
        <w:t xml:space="preserve">escarte, quando vencido ou sem uso. O descarte incorreto acarreta grandes os riscos à saúde humana e ao meio ambiente. </w:t>
      </w:r>
    </w:p>
    <w:p w:rsidR="0046461B" w:rsidRDefault="0046461B">
      <w:pPr>
        <w:jc w:val="both"/>
        <w:rPr>
          <w:rFonts w:hint="eastAsia"/>
          <w:color w:val="000000"/>
          <w:highlight w:val="white"/>
        </w:rPr>
      </w:pPr>
    </w:p>
    <w:p w:rsidR="0046461B" w:rsidRDefault="005D14EF">
      <w:pPr>
        <w:tabs>
          <w:tab w:val="left" w:pos="2250"/>
        </w:tabs>
        <w:jc w:val="both"/>
        <w:rPr>
          <w:rFonts w:hint="eastAsia"/>
        </w:rPr>
      </w:pPr>
      <w:r>
        <w:rPr>
          <w:color w:val="000000"/>
          <w:highlight w:val="white"/>
        </w:rPr>
        <w:tab/>
        <w:t xml:space="preserve"> O descarte de medicamentos é um problema que ocorre no mundo todo e é relativamente novo, apresentando riscos à água, ao solo, aos an</w:t>
      </w:r>
      <w:r>
        <w:rPr>
          <w:color w:val="000000"/>
          <w:highlight w:val="white"/>
        </w:rPr>
        <w:t>imais e à saúde pública. E o pior é que grande parte das pessoas não sabe o mal que está fazendo ao realizar o descarte de medicamentos no lixo comum ou no vaso sanitário. O descarte no lixo comum é extremamente nocivo ao meio ambiente, porque por não sere</w:t>
      </w:r>
      <w:r>
        <w:rPr>
          <w:color w:val="000000"/>
          <w:highlight w:val="white"/>
        </w:rPr>
        <w:t xml:space="preserve">m os medicamentos metabolizados podem chegar em sua forma original aos aterros, contaminando o lençol freático em concentrações até maiores que via esgoto. </w:t>
      </w:r>
    </w:p>
    <w:p w:rsidR="0046461B" w:rsidRDefault="0046461B">
      <w:pPr>
        <w:tabs>
          <w:tab w:val="left" w:pos="2250"/>
        </w:tabs>
        <w:jc w:val="both"/>
        <w:rPr>
          <w:rFonts w:hint="eastAsia"/>
          <w:color w:val="000000"/>
          <w:highlight w:val="white"/>
        </w:rPr>
      </w:pPr>
    </w:p>
    <w:p w:rsidR="0046461B" w:rsidRDefault="005D14EF">
      <w:pPr>
        <w:tabs>
          <w:tab w:val="left" w:pos="2250"/>
        </w:tabs>
        <w:jc w:val="both"/>
        <w:rPr>
          <w:rFonts w:hint="eastAsia"/>
        </w:rPr>
      </w:pPr>
      <w:r>
        <w:rPr>
          <w:color w:val="000000"/>
          <w:highlight w:val="white"/>
        </w:rPr>
        <w:tab/>
        <w:t>Os medicamentos diluídos em água podem interferir no metabolismo e no comportamento de organismos</w:t>
      </w:r>
      <w:r>
        <w:rPr>
          <w:color w:val="000000"/>
          <w:highlight w:val="white"/>
        </w:rPr>
        <w:t xml:space="preserve"> aquáticos, contaminando a cadeia de animais fluviais e marinhos, muitas vezes utilizados para consumo humano. Os antibióticos expostos ao meio ambiente tornam as bactérias resistentes ao antibiótico em questão.</w:t>
      </w:r>
    </w:p>
    <w:p w:rsidR="0046461B" w:rsidRDefault="0046461B">
      <w:pPr>
        <w:tabs>
          <w:tab w:val="left" w:pos="2250"/>
        </w:tabs>
        <w:jc w:val="both"/>
        <w:rPr>
          <w:rFonts w:hint="eastAsia"/>
          <w:color w:val="000000"/>
          <w:highlight w:val="white"/>
        </w:rPr>
      </w:pPr>
    </w:p>
    <w:p w:rsidR="0046461B" w:rsidRDefault="005D14EF">
      <w:pPr>
        <w:tabs>
          <w:tab w:val="left" w:pos="2250"/>
        </w:tabs>
        <w:jc w:val="both"/>
        <w:rPr>
          <w:rFonts w:hint="eastAsia"/>
        </w:rPr>
      </w:pPr>
      <w:r>
        <w:rPr>
          <w:color w:val="000000"/>
          <w:highlight w:val="white"/>
        </w:rPr>
        <w:tab/>
        <w:t>O acima exposto fundamenta a urgente neces</w:t>
      </w:r>
      <w:r>
        <w:rPr>
          <w:color w:val="000000"/>
          <w:highlight w:val="white"/>
        </w:rPr>
        <w:t xml:space="preserve">sidade de regulamentação e de esclarecimento público, daí a iniciativa da propositura desta lei. </w:t>
      </w:r>
    </w:p>
    <w:p w:rsidR="0046461B" w:rsidRDefault="005D14EF">
      <w:pPr>
        <w:tabs>
          <w:tab w:val="left" w:pos="2250"/>
        </w:tabs>
        <w:jc w:val="both"/>
        <w:rPr>
          <w:rFonts w:hint="eastAsia"/>
        </w:rPr>
      </w:pPr>
      <w:r>
        <w:rPr>
          <w:color w:val="000000"/>
          <w:highlight w:val="white"/>
        </w:rPr>
        <w:tab/>
      </w:r>
    </w:p>
    <w:p w:rsidR="0046461B" w:rsidRDefault="0046461B">
      <w:pPr>
        <w:tabs>
          <w:tab w:val="left" w:pos="2250"/>
        </w:tabs>
        <w:jc w:val="both"/>
        <w:rPr>
          <w:rFonts w:hint="eastAsia"/>
          <w:color w:val="000000"/>
          <w:highlight w:val="white"/>
        </w:rPr>
      </w:pPr>
    </w:p>
    <w:p w:rsidR="0046461B" w:rsidRDefault="005D14EF">
      <w:pPr>
        <w:tabs>
          <w:tab w:val="left" w:pos="2264"/>
        </w:tabs>
        <w:ind w:firstLine="2211"/>
        <w:jc w:val="both"/>
        <w:rPr>
          <w:rFonts w:hint="eastAsia"/>
          <w:sz w:val="26"/>
          <w:szCs w:val="26"/>
        </w:rPr>
      </w:pPr>
      <w:r>
        <w:t xml:space="preserve"> </w:t>
      </w:r>
    </w:p>
    <w:p w:rsidR="0046461B" w:rsidRDefault="005D14EF">
      <w:pPr>
        <w:tabs>
          <w:tab w:val="left" w:pos="55"/>
          <w:tab w:val="left" w:pos="2264"/>
        </w:tabs>
        <w:jc w:val="both"/>
        <w:rPr>
          <w:rFonts w:hint="eastAsia"/>
        </w:rPr>
      </w:pPr>
      <w:r>
        <w:tab/>
      </w:r>
      <w:r>
        <w:tab/>
        <w:t>Valinhos, 29 de Maio de 2017.</w:t>
      </w:r>
    </w:p>
    <w:p w:rsidR="0046461B" w:rsidRDefault="0046461B">
      <w:pPr>
        <w:jc w:val="both"/>
        <w:rPr>
          <w:rFonts w:hint="eastAsia"/>
        </w:rPr>
      </w:pPr>
    </w:p>
    <w:p w:rsidR="0046461B" w:rsidRDefault="0046461B">
      <w:pPr>
        <w:jc w:val="both"/>
        <w:rPr>
          <w:rFonts w:hint="eastAsia"/>
        </w:rPr>
      </w:pPr>
    </w:p>
    <w:p w:rsidR="0046461B" w:rsidRDefault="0046461B">
      <w:pPr>
        <w:jc w:val="both"/>
        <w:rPr>
          <w:rFonts w:hint="eastAsia"/>
        </w:rPr>
      </w:pPr>
    </w:p>
    <w:p w:rsidR="0046461B" w:rsidRDefault="005D14EF">
      <w:pPr>
        <w:jc w:val="both"/>
        <w:rPr>
          <w:rFonts w:ascii="Linux Libertine Display G" w:hAnsi="Linux Libertine Display G" w:hint="eastAsia"/>
        </w:rPr>
      </w:pPr>
      <w:r>
        <w:t xml:space="preserve">                                          Gilberto Aparecido Borges – GIBA</w:t>
      </w:r>
    </w:p>
    <w:p w:rsidR="0046461B" w:rsidRDefault="005D14EF">
      <w:pPr>
        <w:jc w:val="both"/>
        <w:rPr>
          <w:rFonts w:ascii="Linux Libertine Display G" w:hAnsi="Linux Libertine Display G" w:hint="eastAsia"/>
        </w:rPr>
      </w:pPr>
      <w:r>
        <w:t xml:space="preserve">                                           </w:t>
      </w:r>
      <w:r>
        <w:t xml:space="preserve">             Vereador PMDB</w:t>
      </w:r>
    </w:p>
    <w:p w:rsidR="0046461B" w:rsidRDefault="005D14EF">
      <w:pPr>
        <w:ind w:firstLine="2268"/>
        <w:jc w:val="both"/>
        <w:rPr>
          <w:rFonts w:hint="eastAsia"/>
        </w:rPr>
      </w:pPr>
      <w:r>
        <w:rPr>
          <w:b/>
          <w:bCs/>
          <w:sz w:val="26"/>
          <w:szCs w:val="26"/>
        </w:rPr>
        <w:lastRenderedPageBreak/>
        <w:t xml:space="preserve"> </w:t>
      </w:r>
    </w:p>
    <w:p w:rsidR="0046461B" w:rsidRDefault="0046461B">
      <w:pPr>
        <w:ind w:firstLine="2268"/>
        <w:jc w:val="both"/>
        <w:rPr>
          <w:rFonts w:hint="eastAsia"/>
          <w:b/>
          <w:bCs/>
          <w:sz w:val="26"/>
          <w:szCs w:val="26"/>
        </w:rPr>
      </w:pPr>
    </w:p>
    <w:p w:rsidR="0046461B" w:rsidRDefault="0046461B">
      <w:pPr>
        <w:ind w:firstLine="2268"/>
        <w:jc w:val="both"/>
        <w:rPr>
          <w:rFonts w:hint="eastAsia"/>
          <w:b/>
          <w:bCs/>
          <w:sz w:val="26"/>
          <w:szCs w:val="26"/>
        </w:rPr>
      </w:pPr>
    </w:p>
    <w:p w:rsidR="0046461B" w:rsidRDefault="0046461B">
      <w:pPr>
        <w:ind w:firstLine="2268"/>
        <w:jc w:val="both"/>
        <w:rPr>
          <w:rFonts w:hint="eastAsia"/>
          <w:b/>
          <w:bCs/>
          <w:sz w:val="26"/>
          <w:szCs w:val="26"/>
        </w:rPr>
      </w:pPr>
    </w:p>
    <w:p w:rsidR="0046461B" w:rsidRDefault="0046461B">
      <w:pPr>
        <w:ind w:firstLine="2268"/>
        <w:jc w:val="both"/>
        <w:rPr>
          <w:rFonts w:hint="eastAsia"/>
          <w:b/>
          <w:bCs/>
          <w:sz w:val="26"/>
          <w:szCs w:val="26"/>
        </w:rPr>
      </w:pPr>
    </w:p>
    <w:p w:rsidR="0046461B" w:rsidRDefault="005D14EF">
      <w:pPr>
        <w:jc w:val="both"/>
        <w:rPr>
          <w:rFonts w:ascii="Linux Libertine Display G" w:hAnsi="Linux Libertine Display G" w:hint="eastAsia"/>
        </w:rPr>
      </w:pPr>
      <w:r>
        <w:rPr>
          <w:b/>
          <w:bCs/>
        </w:rPr>
        <w:t>Projeto de Lei nº  ________________</w:t>
      </w:r>
    </w:p>
    <w:p w:rsidR="0046461B" w:rsidRDefault="0046461B">
      <w:pPr>
        <w:jc w:val="both"/>
        <w:rPr>
          <w:rFonts w:hint="eastAsia"/>
          <w:b/>
          <w:bCs/>
        </w:rPr>
      </w:pPr>
    </w:p>
    <w:p w:rsidR="0046461B" w:rsidRDefault="0046461B">
      <w:pPr>
        <w:jc w:val="both"/>
        <w:rPr>
          <w:rFonts w:hint="eastAsia"/>
          <w:sz w:val="26"/>
          <w:szCs w:val="26"/>
        </w:rPr>
      </w:pPr>
    </w:p>
    <w:p w:rsidR="0046461B" w:rsidRDefault="005D14EF">
      <w:pPr>
        <w:pStyle w:val="Ttulo1"/>
        <w:ind w:left="2324"/>
        <w:jc w:val="both"/>
        <w:rPr>
          <w:rFonts w:ascii="Liberation Serif" w:hAnsi="Liberation Serif"/>
          <w:color w:val="333333"/>
          <w:sz w:val="26"/>
          <w:szCs w:val="26"/>
        </w:rPr>
      </w:pPr>
      <w:r>
        <w:rPr>
          <w:rFonts w:ascii="Liberation Serif" w:hAnsi="Liberation Serif"/>
          <w:b/>
          <w:bCs/>
          <w:color w:val="333333"/>
          <w:sz w:val="24"/>
          <w:szCs w:val="24"/>
        </w:rPr>
        <w:t xml:space="preserve">“OBRIGA AS FARMÁCIAS INSTALADAS NO MUNICÍPIO DE VALINHOS - SP A DISPONIBILIZAREM RECIPIENTES PARA RECOLHIMENTO DE MEDICAMENTOS VENCIDOS, DANDO-LHES O DEVIDO ENCAMINHAMENTO, NOS TERMOS </w:t>
      </w:r>
      <w:r>
        <w:rPr>
          <w:rFonts w:ascii="Liberation Serif" w:hAnsi="Liberation Serif"/>
          <w:b/>
          <w:bCs/>
          <w:color w:val="333333"/>
          <w:sz w:val="24"/>
          <w:szCs w:val="24"/>
        </w:rPr>
        <w:t>DA RESOLUÇÃO 306 DA ANVISA.”</w:t>
      </w:r>
    </w:p>
    <w:p w:rsidR="0046461B" w:rsidRDefault="0046461B">
      <w:pPr>
        <w:pStyle w:val="Corpodetexto"/>
        <w:spacing w:after="0" w:line="240" w:lineRule="auto"/>
        <w:jc w:val="both"/>
        <w:rPr>
          <w:rFonts w:hint="eastAsia"/>
          <w:sz w:val="26"/>
          <w:szCs w:val="26"/>
        </w:rPr>
      </w:pPr>
    </w:p>
    <w:p w:rsidR="0046461B" w:rsidRDefault="005D14EF">
      <w:pPr>
        <w:ind w:left="57" w:firstLine="2211"/>
        <w:jc w:val="both"/>
        <w:rPr>
          <w:rFonts w:hint="eastAsia"/>
        </w:rPr>
      </w:pPr>
      <w:r>
        <w:rPr>
          <w:b/>
          <w:bCs/>
        </w:rPr>
        <w:t xml:space="preserve">DR. ORESTES PREVITALE JÚNIOR, </w:t>
      </w:r>
      <w:r>
        <w:t>Prefeito do Município  de Valinhos, no uso das atribuições que lhe são conferidas pelo art. 80, inciso III, da Lei Orgânica,</w:t>
      </w:r>
    </w:p>
    <w:p w:rsidR="0046461B" w:rsidRDefault="0046461B">
      <w:pPr>
        <w:tabs>
          <w:tab w:val="left" w:pos="8445"/>
        </w:tabs>
        <w:ind w:left="57" w:firstLine="2211"/>
        <w:jc w:val="both"/>
        <w:rPr>
          <w:rFonts w:hint="eastAsia"/>
        </w:rPr>
      </w:pPr>
    </w:p>
    <w:p w:rsidR="0046461B" w:rsidRDefault="005D14EF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b/>
          <w:bCs/>
        </w:rPr>
        <w:tab/>
        <w:t xml:space="preserve">FAZ SABER </w:t>
      </w:r>
      <w:r>
        <w:t xml:space="preserve">que a Câmara municipal aprovou e ele sanciona e promulga a seguinte lei: </w:t>
      </w:r>
    </w:p>
    <w:p w:rsidR="0046461B" w:rsidRDefault="005D14EF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sz w:val="26"/>
          <w:szCs w:val="26"/>
        </w:rPr>
        <w:br/>
      </w:r>
      <w:r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ab/>
        <w:t xml:space="preserve">Art. 1º - </w:t>
      </w:r>
      <w:r>
        <w:rPr>
          <w:color w:val="333333"/>
          <w:sz w:val="26"/>
          <w:szCs w:val="26"/>
        </w:rPr>
        <w:t>As farmácias localizadas na cidade de Valinhos ficam obrigadas a disponibilizarem em seus estabelecimentos recipientes para o recolhimento apropriado de medicamentos ven</w:t>
      </w:r>
      <w:r>
        <w:rPr>
          <w:color w:val="333333"/>
          <w:sz w:val="26"/>
          <w:szCs w:val="26"/>
        </w:rPr>
        <w:t>cidos.</w:t>
      </w:r>
    </w:p>
    <w:p w:rsidR="0046461B" w:rsidRDefault="005D14EF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tab/>
        <w:t>Art 2º –</w:t>
      </w:r>
      <w:r>
        <w:rPr>
          <w:color w:val="333333"/>
          <w:sz w:val="26"/>
          <w:szCs w:val="26"/>
        </w:rPr>
        <w:t xml:space="preserve"> Os recipientes ficarão situados em local de fácil acesso e percepção, contendo indicação expressa do fim a que se destina.</w:t>
      </w:r>
    </w:p>
    <w:p w:rsidR="0046461B" w:rsidRDefault="0046461B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color w:val="333333"/>
          <w:sz w:val="26"/>
          <w:szCs w:val="26"/>
        </w:rPr>
      </w:pPr>
    </w:p>
    <w:p w:rsidR="0046461B" w:rsidRDefault="005D14EF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color w:val="333333"/>
          <w:sz w:val="26"/>
          <w:szCs w:val="26"/>
        </w:rPr>
        <w:tab/>
        <w:t>Art. 3º – As farmácias, drogarias e estabelecimentos congêneres deverão divulgar, em suas dependências, o serviço</w:t>
      </w:r>
      <w:r>
        <w:rPr>
          <w:color w:val="333333"/>
          <w:sz w:val="26"/>
          <w:szCs w:val="26"/>
        </w:rPr>
        <w:t xml:space="preserve"> gratuito de descarte de medicamentos vencidos</w:t>
      </w:r>
    </w:p>
    <w:p w:rsidR="0046461B" w:rsidRDefault="0046461B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</w:p>
    <w:p w:rsidR="0046461B" w:rsidRDefault="005D14EF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color w:val="333333"/>
          <w:sz w:val="26"/>
          <w:szCs w:val="26"/>
        </w:rPr>
        <w:tab/>
        <w:t>Art. 4º - Após o devido recolhimento, as farmácias darão o correto destino aos remédios/medicamentos vencidos, como determina a Resolução 306 da Agência Nacional de Vigilância Sanitária – ANVISA.</w:t>
      </w:r>
    </w:p>
    <w:p w:rsidR="0046461B" w:rsidRDefault="0046461B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color w:val="333333"/>
          <w:sz w:val="26"/>
          <w:szCs w:val="26"/>
        </w:rPr>
      </w:pPr>
    </w:p>
    <w:p w:rsidR="0046461B" w:rsidRDefault="005D14EF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color w:val="333333"/>
          <w:sz w:val="26"/>
          <w:szCs w:val="26"/>
        </w:rPr>
        <w:tab/>
        <w:t>Art. 5º –</w:t>
      </w:r>
      <w:r>
        <w:rPr>
          <w:color w:val="333333"/>
          <w:sz w:val="26"/>
          <w:szCs w:val="26"/>
        </w:rPr>
        <w:t xml:space="preserve"> O descumprimento das disposições desta lei sujeitam as farmácias, drogarias e estabelecimentos congêneres às seguintes penalidades:</w:t>
      </w:r>
    </w:p>
    <w:p w:rsidR="0046461B" w:rsidRDefault="005D14EF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color w:val="333333"/>
          <w:sz w:val="26"/>
          <w:szCs w:val="26"/>
        </w:rPr>
        <w:t xml:space="preserve"> </w:t>
      </w:r>
    </w:p>
    <w:p w:rsidR="0046461B" w:rsidRDefault="005D14EF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color w:val="333333"/>
          <w:sz w:val="26"/>
          <w:szCs w:val="26"/>
        </w:rPr>
        <w:t>I – advertência</w:t>
      </w:r>
    </w:p>
    <w:p w:rsidR="0046461B" w:rsidRDefault="005D14EF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color w:val="333333"/>
          <w:sz w:val="26"/>
          <w:szCs w:val="26"/>
        </w:rPr>
        <w:t>II- multa</w:t>
      </w:r>
    </w:p>
    <w:p w:rsidR="0046461B" w:rsidRDefault="0046461B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color w:val="333333"/>
          <w:sz w:val="26"/>
          <w:szCs w:val="26"/>
        </w:rPr>
      </w:pPr>
    </w:p>
    <w:p w:rsidR="0046461B" w:rsidRDefault="005D14EF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color w:val="333333"/>
          <w:sz w:val="26"/>
          <w:szCs w:val="26"/>
        </w:rPr>
        <w:tab/>
        <w:t>§ 1º – A advertência será aplicada ao estabelecimento que, no ato da fiscalização, estiver em</w:t>
      </w:r>
      <w:r>
        <w:rPr>
          <w:color w:val="333333"/>
          <w:sz w:val="26"/>
          <w:szCs w:val="26"/>
        </w:rPr>
        <w:t xml:space="preserve"> desacordo com as normas determinadas nesta lei.</w:t>
      </w:r>
    </w:p>
    <w:p w:rsidR="0046461B" w:rsidRDefault="005D14EF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color w:val="333333"/>
          <w:sz w:val="26"/>
          <w:szCs w:val="26"/>
        </w:rPr>
        <w:tab/>
      </w:r>
    </w:p>
    <w:p w:rsidR="0046461B" w:rsidRDefault="005D14EF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color w:val="333333"/>
          <w:sz w:val="26"/>
          <w:szCs w:val="26"/>
        </w:rPr>
        <w:tab/>
        <w:t>§ 2º – Será concedido o prazo de 30 (trinta) dias contados da data da advertência para o estabelecimento se adequar à lei</w:t>
      </w:r>
    </w:p>
    <w:p w:rsidR="0046461B" w:rsidRDefault="005D14EF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color w:val="333333"/>
          <w:sz w:val="26"/>
          <w:szCs w:val="26"/>
        </w:rPr>
        <w:t xml:space="preserve"> </w:t>
      </w:r>
    </w:p>
    <w:p w:rsidR="0046461B" w:rsidRDefault="005D14EF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color w:val="333333"/>
          <w:sz w:val="26"/>
          <w:szCs w:val="26"/>
        </w:rPr>
        <w:tab/>
        <w:t>§ 3º – Será aplicada multa a ser definida pelo Poder Executivo.</w:t>
      </w:r>
    </w:p>
    <w:p w:rsidR="0046461B" w:rsidRDefault="0046461B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</w:p>
    <w:p w:rsidR="0046461B" w:rsidRDefault="0046461B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</w:p>
    <w:p w:rsidR="0046461B" w:rsidRDefault="0046461B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</w:p>
    <w:p w:rsidR="0046461B" w:rsidRDefault="0046461B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</w:p>
    <w:p w:rsidR="0046461B" w:rsidRDefault="0046461B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</w:p>
    <w:p w:rsidR="0046461B" w:rsidRDefault="0046461B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</w:p>
    <w:p w:rsidR="0046461B" w:rsidRDefault="0046461B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</w:p>
    <w:p w:rsidR="0046461B" w:rsidRDefault="005D14EF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sz w:val="26"/>
          <w:szCs w:val="26"/>
        </w:rPr>
        <w:tab/>
      </w:r>
      <w:r>
        <w:rPr>
          <w:color w:val="333333"/>
          <w:sz w:val="26"/>
          <w:szCs w:val="26"/>
        </w:rPr>
        <w:t>Art. 6º</w:t>
      </w:r>
      <w:r>
        <w:rPr>
          <w:color w:val="333333"/>
          <w:sz w:val="26"/>
          <w:szCs w:val="26"/>
        </w:rPr>
        <w:t xml:space="preserve"> - O</w:t>
      </w:r>
      <w:r>
        <w:rPr>
          <w:color w:val="333333"/>
          <w:sz w:val="26"/>
          <w:szCs w:val="26"/>
        </w:rPr>
        <w:t xml:space="preserve"> Poder Executivo, através da Secretaria competente, poderá firmar, a seu critério, convênio com as farmácias, incorporando a obrigação de recolher tais medicamentos.</w:t>
      </w:r>
    </w:p>
    <w:p w:rsidR="0046461B" w:rsidRDefault="0046461B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color w:val="333333"/>
          <w:sz w:val="26"/>
          <w:szCs w:val="26"/>
        </w:rPr>
      </w:pPr>
    </w:p>
    <w:p w:rsidR="0046461B" w:rsidRDefault="005D14EF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color w:val="333333"/>
          <w:sz w:val="26"/>
          <w:szCs w:val="26"/>
        </w:rPr>
        <w:tab/>
        <w:t>Art. 7º – Ao seu exclusivo critério, poderá o Executivo realizar campanhas educativa</w:t>
      </w:r>
      <w:r>
        <w:rPr>
          <w:color w:val="333333"/>
          <w:sz w:val="26"/>
          <w:szCs w:val="26"/>
        </w:rPr>
        <w:t>s de divulgação do serviço de descarte de medicamentos.</w:t>
      </w:r>
    </w:p>
    <w:p w:rsidR="0046461B" w:rsidRDefault="0046461B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</w:p>
    <w:p w:rsidR="0046461B" w:rsidRDefault="005D14EF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sz w:val="26"/>
          <w:szCs w:val="26"/>
        </w:rPr>
        <w:tab/>
      </w:r>
      <w:r>
        <w:rPr>
          <w:color w:val="333333"/>
          <w:sz w:val="26"/>
          <w:szCs w:val="26"/>
        </w:rPr>
        <w:t>Art. 8º – O Executivo regulamentará esta lei no prazo de 90 (noventa) dias, contados da data de sua publicação.</w:t>
      </w:r>
    </w:p>
    <w:p w:rsidR="0046461B" w:rsidRDefault="0046461B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color w:val="333333"/>
          <w:sz w:val="26"/>
          <w:szCs w:val="26"/>
        </w:rPr>
      </w:pPr>
    </w:p>
    <w:p w:rsidR="0046461B" w:rsidRDefault="005D14EF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color w:val="333333"/>
          <w:sz w:val="26"/>
          <w:szCs w:val="26"/>
        </w:rPr>
        <w:tab/>
        <w:t xml:space="preserve">Art. 9º – Esta lei entra em vigor na data de sua publicação. </w:t>
      </w:r>
    </w:p>
    <w:p w:rsidR="0046461B" w:rsidRDefault="005D14EF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tab/>
      </w:r>
    </w:p>
    <w:p w:rsidR="0046461B" w:rsidRDefault="0046461B">
      <w:pPr>
        <w:ind w:left="57" w:firstLine="2211"/>
        <w:jc w:val="both"/>
        <w:rPr>
          <w:rFonts w:hint="eastAsia"/>
          <w:b/>
          <w:bCs/>
          <w:sz w:val="32"/>
          <w:szCs w:val="32"/>
        </w:rPr>
      </w:pPr>
    </w:p>
    <w:p w:rsidR="0046461B" w:rsidRDefault="005D14EF">
      <w:pPr>
        <w:jc w:val="both"/>
        <w:rPr>
          <w:rFonts w:hint="eastAsia"/>
        </w:rPr>
      </w:pPr>
      <w:r>
        <w:t xml:space="preserve">Valinhos, aos </w:t>
      </w:r>
      <w:r>
        <w:t>________________________________________</w:t>
      </w:r>
    </w:p>
    <w:p w:rsidR="0046461B" w:rsidRDefault="0046461B">
      <w:pPr>
        <w:ind w:left="57" w:firstLine="2211"/>
        <w:jc w:val="both"/>
        <w:rPr>
          <w:rFonts w:hint="eastAsia"/>
        </w:rPr>
      </w:pPr>
    </w:p>
    <w:p w:rsidR="0046461B" w:rsidRDefault="0046461B">
      <w:pPr>
        <w:ind w:left="57" w:firstLine="2211"/>
        <w:jc w:val="both"/>
        <w:rPr>
          <w:rFonts w:hint="eastAsia"/>
        </w:rPr>
      </w:pPr>
    </w:p>
    <w:p w:rsidR="0046461B" w:rsidRDefault="0046461B">
      <w:pPr>
        <w:ind w:left="57" w:firstLine="2211"/>
        <w:jc w:val="both"/>
        <w:rPr>
          <w:rFonts w:hint="eastAsia"/>
        </w:rPr>
      </w:pPr>
    </w:p>
    <w:p w:rsidR="0046461B" w:rsidRDefault="0046461B">
      <w:pPr>
        <w:ind w:left="57" w:firstLine="2211"/>
        <w:jc w:val="both"/>
        <w:rPr>
          <w:rFonts w:hint="eastAsia"/>
        </w:rPr>
      </w:pPr>
    </w:p>
    <w:p w:rsidR="0046461B" w:rsidRDefault="0046461B">
      <w:pPr>
        <w:ind w:left="57" w:firstLine="2211"/>
        <w:jc w:val="both"/>
        <w:rPr>
          <w:rFonts w:hint="eastAsia"/>
        </w:rPr>
      </w:pPr>
    </w:p>
    <w:p w:rsidR="0046461B" w:rsidRDefault="005D14EF">
      <w:pPr>
        <w:jc w:val="both"/>
        <w:rPr>
          <w:rFonts w:hint="eastAsia"/>
        </w:rPr>
      </w:pPr>
      <w:r>
        <w:t xml:space="preserve">                                     DR. ORESTES PREVITALE JÚNIOR</w:t>
      </w:r>
    </w:p>
    <w:p w:rsidR="0046461B" w:rsidRDefault="005D14EF">
      <w:pPr>
        <w:ind w:left="57" w:firstLine="2211"/>
        <w:jc w:val="both"/>
        <w:rPr>
          <w:rFonts w:hint="eastAsia"/>
        </w:rPr>
      </w:pPr>
      <w:r>
        <w:t xml:space="preserve">                        Prefeito</w:t>
      </w:r>
    </w:p>
    <w:sectPr w:rsidR="0046461B">
      <w:pgSz w:w="11906" w:h="16838"/>
      <w:pgMar w:top="1134" w:right="1121" w:bottom="1134" w:left="139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ux Libertine Display G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46461B"/>
    <w:rsid w:val="0046461B"/>
    <w:rsid w:val="005D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Ttulo"/>
    <w:qFormat/>
    <w:pPr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itaes">
    <w:name w:val="Citações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665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156</cp:revision>
  <cp:lastPrinted>2017-05-29T10:31:00Z</cp:lastPrinted>
  <dcterms:created xsi:type="dcterms:W3CDTF">2017-01-23T13:48:00Z</dcterms:created>
  <dcterms:modified xsi:type="dcterms:W3CDTF">2018-03-09T11:28:00Z</dcterms:modified>
  <dc:language>pt-BR</dc:language>
</cp:coreProperties>
</file>